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ABE9" w14:textId="77777777" w:rsidR="005C7B3C" w:rsidRPr="00E86E18" w:rsidRDefault="005C7B3C" w:rsidP="005C7B3C">
      <w:pPr>
        <w:shd w:val="clear" w:color="auto" w:fill="FFFFFF"/>
        <w:spacing w:before="130" w:line="260" w:lineRule="exact"/>
        <w:ind w:firstLine="539"/>
        <w:jc w:val="right"/>
        <w:textAlignment w:val="baseline"/>
        <w:rPr>
          <w:rFonts w:ascii="Cambria" w:eastAsia="Times New Roman" w:hAnsi="Cambria" w:cs="Segoe UI"/>
          <w:sz w:val="19"/>
          <w:szCs w:val="18"/>
          <w:lang w:eastAsia="lv-LV"/>
        </w:rPr>
      </w:pPr>
      <w:r w:rsidRPr="00E86E18">
        <w:rPr>
          <w:rFonts w:ascii="Cambria" w:eastAsia="Times New Roman" w:hAnsi="Cambria" w:cs="Calibri"/>
          <w:sz w:val="19"/>
          <w:lang w:eastAsia="lv-LV"/>
        </w:rPr>
        <w:t xml:space="preserve">1. </w:t>
      </w:r>
      <w:r w:rsidRPr="00E86E18">
        <w:rPr>
          <w:rFonts w:ascii="Cambria" w:eastAsia="Times New Roman" w:hAnsi="Cambria" w:cs="Arial"/>
          <w:sz w:val="19"/>
          <w:szCs w:val="21"/>
          <w:lang w:eastAsia="lv-LV"/>
        </w:rPr>
        <w:t>pielikums</w:t>
      </w:r>
      <w:r w:rsidRPr="00E86E18">
        <w:rPr>
          <w:rFonts w:ascii="Cambria" w:eastAsia="Times New Roman" w:hAnsi="Cambria" w:cs="Calibri"/>
          <w:sz w:val="19"/>
          <w:szCs w:val="21"/>
          <w:lang w:eastAsia="lv-LV"/>
        </w:rPr>
        <w:t> </w:t>
      </w:r>
      <w:r w:rsidRPr="00E86E18">
        <w:rPr>
          <w:rFonts w:ascii="Cambria" w:eastAsia="Times New Roman" w:hAnsi="Cambria" w:cs="Calibri"/>
          <w:sz w:val="19"/>
          <w:szCs w:val="21"/>
          <w:lang w:eastAsia="lv-LV"/>
        </w:rPr>
        <w:br/>
      </w:r>
      <w:r w:rsidRPr="00E86E18">
        <w:rPr>
          <w:rFonts w:ascii="Cambria" w:eastAsia="Times New Roman" w:hAnsi="Cambria" w:cs="Arial"/>
          <w:sz w:val="19"/>
          <w:szCs w:val="21"/>
          <w:lang w:eastAsia="lv-LV"/>
        </w:rPr>
        <w:t>Sabiedrisko pakalpojumu regulēšanas komisijas  </w:t>
      </w:r>
      <w:r w:rsidRPr="00E86E18">
        <w:rPr>
          <w:rFonts w:ascii="Cambria" w:eastAsia="Times New Roman" w:hAnsi="Cambria" w:cs="Arial"/>
          <w:sz w:val="19"/>
          <w:szCs w:val="21"/>
          <w:lang w:eastAsia="lv-LV"/>
        </w:rPr>
        <w:br/>
        <w:t>2022. gada 3. novembra lēmumam Nr. 1/40 </w:t>
      </w:r>
      <w:r w:rsidRPr="00E86E18">
        <w:rPr>
          <w:rFonts w:ascii="Cambria" w:eastAsia="Times New Roman" w:hAnsi="Cambria" w:cs="Arial"/>
          <w:sz w:val="19"/>
          <w:szCs w:val="21"/>
          <w:lang w:eastAsia="lv-LV"/>
        </w:rPr>
        <w:br/>
        <w:t>"Noteikumi par iepazīšanos ar tarifa projektu" </w:t>
      </w:r>
    </w:p>
    <w:p w14:paraId="7E6A0233" w14:textId="77777777" w:rsidR="005C7B3C" w:rsidRPr="00FA266D" w:rsidRDefault="005C7B3C" w:rsidP="005C7B3C">
      <w:pPr>
        <w:shd w:val="clear" w:color="auto" w:fill="FFFFFF"/>
        <w:spacing w:before="360"/>
        <w:ind w:left="567" w:right="567"/>
        <w:jc w:val="center"/>
        <w:textAlignment w:val="baseline"/>
        <w:rPr>
          <w:rFonts w:ascii="Cambria" w:eastAsia="Times New Roman" w:hAnsi="Cambria" w:cs="Arial"/>
          <w:b/>
          <w:sz w:val="22"/>
          <w:szCs w:val="27"/>
          <w:lang w:eastAsia="lv-LV"/>
        </w:rPr>
      </w:pPr>
      <w:r w:rsidRPr="00FA266D">
        <w:rPr>
          <w:rFonts w:ascii="Cambria" w:eastAsia="Times New Roman" w:hAnsi="Cambria" w:cs="Arial"/>
          <w:b/>
          <w:bCs/>
          <w:sz w:val="22"/>
          <w:szCs w:val="27"/>
          <w:lang w:eastAsia="lv-LV"/>
        </w:rPr>
        <w:t>Paziņojums par tarifa projektu</w:t>
      </w:r>
    </w:p>
    <w:p w14:paraId="43E368B2" w14:textId="77777777" w:rsidR="005C7B3C" w:rsidRPr="00E86E18" w:rsidRDefault="005C7B3C" w:rsidP="005C7B3C">
      <w:pPr>
        <w:shd w:val="clear" w:color="auto" w:fill="FFFFFF"/>
        <w:spacing w:before="130" w:line="260" w:lineRule="exact"/>
        <w:ind w:firstLine="539"/>
        <w:jc w:val="center"/>
        <w:textAlignment w:val="baseline"/>
        <w:rPr>
          <w:rFonts w:ascii="Cambria" w:eastAsia="Times New Roman" w:hAnsi="Cambria" w:cs="Segoe UI"/>
          <w:sz w:val="19"/>
          <w:szCs w:val="1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9"/>
        <w:gridCol w:w="1559"/>
        <w:gridCol w:w="1560"/>
        <w:gridCol w:w="1972"/>
      </w:tblGrid>
      <w:tr w:rsidR="005C7B3C" w:rsidRPr="00E86E18" w14:paraId="1F640029" w14:textId="77777777" w:rsidTr="00804C96">
        <w:tc>
          <w:tcPr>
            <w:tcW w:w="8630" w:type="dxa"/>
            <w:gridSpan w:val="4"/>
            <w:vAlign w:val="center"/>
            <w:hideMark/>
          </w:tcPr>
          <w:p w14:paraId="06344C69" w14:textId="50CCE1D2" w:rsidR="005C7B3C" w:rsidRPr="005D11B1" w:rsidRDefault="005D11B1" w:rsidP="00652BA9">
            <w:pPr>
              <w:textAlignment w:val="baseline"/>
              <w:rPr>
                <w:rFonts w:ascii="Cambria" w:eastAsia="Times New Roman" w:hAnsi="Cambria" w:cs="Times New Roman"/>
                <w:sz w:val="19"/>
                <w:szCs w:val="24"/>
                <w:lang w:eastAsia="lv-LV"/>
              </w:rPr>
            </w:pPr>
            <w:r w:rsidRPr="005D11B1">
              <w:rPr>
                <w:rFonts w:ascii="Cambria" w:eastAsia="Times New Roman" w:hAnsi="Cambria" w:cs="Times New Roman"/>
                <w:sz w:val="19"/>
                <w:szCs w:val="21"/>
                <w:lang w:eastAsia="lv-LV"/>
              </w:rPr>
              <w:t xml:space="preserve">SIA </w:t>
            </w:r>
            <w:r w:rsidR="00F42FC4">
              <w:rPr>
                <w:rFonts w:ascii="Cambria" w:eastAsia="Times New Roman" w:hAnsi="Cambria" w:cs="Times New Roman"/>
                <w:sz w:val="19"/>
                <w:szCs w:val="21"/>
                <w:lang w:eastAsia="lv-LV"/>
              </w:rPr>
              <w:t>“</w:t>
            </w:r>
            <w:r w:rsidRPr="005D11B1">
              <w:rPr>
                <w:rFonts w:ascii="Cambria" w:eastAsia="Times New Roman" w:hAnsi="Cambria" w:cs="Times New Roman"/>
                <w:sz w:val="19"/>
                <w:szCs w:val="21"/>
                <w:lang w:eastAsia="lv-LV"/>
              </w:rPr>
              <w:t>Riga Port Electric</w:t>
            </w:r>
            <w:r w:rsidR="00F42FC4">
              <w:rPr>
                <w:rFonts w:ascii="Cambria" w:eastAsia="Times New Roman" w:hAnsi="Cambria" w:cs="Times New Roman"/>
                <w:sz w:val="19"/>
                <w:szCs w:val="21"/>
                <w:lang w:eastAsia="lv-LV"/>
              </w:rPr>
              <w:t>”</w:t>
            </w:r>
            <w:r w:rsidRPr="005D11B1">
              <w:rPr>
                <w:rFonts w:ascii="Cambria" w:eastAsia="Times New Roman" w:hAnsi="Cambria" w:cs="Times New Roman"/>
                <w:sz w:val="19"/>
                <w:szCs w:val="21"/>
                <w:lang w:eastAsia="lv-LV"/>
              </w:rPr>
              <w:t xml:space="preserve">, vienotais reģistrācijas numurs 40003752513, juridiskā adrese Eksporta iela 15 k-1, Rīga, LV-1045, 2025.gada 1.augustā </w:t>
            </w:r>
            <w:r w:rsidR="005C7B3C" w:rsidRPr="005D11B1">
              <w:rPr>
                <w:rFonts w:ascii="Cambria" w:eastAsia="Times New Roman" w:hAnsi="Cambria" w:cs="Times New Roman"/>
                <w:sz w:val="19"/>
                <w:szCs w:val="21"/>
                <w:lang w:eastAsia="lv-LV"/>
              </w:rPr>
              <w:t> Sabiedrisko pakalpojumu regulēšanas komisijai iesniedza</w:t>
            </w:r>
            <w:r w:rsidRPr="005D11B1">
              <w:rPr>
                <w:rFonts w:ascii="Cambria" w:eastAsia="Times New Roman" w:hAnsi="Cambria" w:cs="Times New Roman"/>
                <w:sz w:val="19"/>
                <w:szCs w:val="21"/>
                <w:lang w:eastAsia="lv-LV"/>
              </w:rPr>
              <w:t xml:space="preserve"> elektroenerģijas sadales sistēmas pakalpojumu tarifa </w:t>
            </w:r>
            <w:r w:rsidR="005C7B3C" w:rsidRPr="005D11B1">
              <w:rPr>
                <w:rFonts w:ascii="Cambria" w:eastAsia="Times New Roman" w:hAnsi="Cambria" w:cs="Times New Roman"/>
                <w:sz w:val="19"/>
                <w:szCs w:val="21"/>
                <w:lang w:eastAsia="lv-LV"/>
              </w:rPr>
              <w:t>projektu, kas ir aprēķināts saskaņā ar</w:t>
            </w:r>
            <w:r w:rsidR="005C7B3C" w:rsidRPr="005D11B1">
              <w:rPr>
                <w:rFonts w:ascii="Cambria" w:eastAsia="Times New Roman" w:hAnsi="Cambria" w:cs="Times New Roman"/>
                <w:i/>
                <w:iCs/>
                <w:sz w:val="19"/>
                <w:szCs w:val="21"/>
                <w:u w:val="single"/>
                <w:lang w:eastAsia="lv-LV"/>
              </w:rPr>
              <w:t xml:space="preserve"> </w:t>
            </w:r>
            <w:r w:rsidRPr="005D11B1">
              <w:rPr>
                <w:rFonts w:ascii="Cambria" w:eastAsia="Times New Roman" w:hAnsi="Cambria" w:cs="Times New Roman"/>
                <w:sz w:val="19"/>
                <w:szCs w:val="21"/>
                <w:lang w:eastAsia="lv-LV"/>
              </w:rPr>
              <w:t>Elektroenerģijas sadales sistēmas pakalpojumu tarifu aprēķināšanas metodiku.</w:t>
            </w:r>
          </w:p>
        </w:tc>
      </w:tr>
      <w:tr w:rsidR="00D76686" w:rsidRPr="00E86E18" w14:paraId="4F46F396" w14:textId="77777777" w:rsidTr="00E53255">
        <w:tc>
          <w:tcPr>
            <w:tcW w:w="3539" w:type="dxa"/>
            <w:tcBorders>
              <w:bottom w:val="single" w:sz="4" w:space="0" w:color="auto"/>
            </w:tcBorders>
            <w:vAlign w:val="center"/>
          </w:tcPr>
          <w:p w14:paraId="4E38CB53" w14:textId="7411DBBB" w:rsidR="00D76686" w:rsidRPr="00E53255" w:rsidRDefault="00D76686" w:rsidP="00D76686">
            <w:pPr>
              <w:textAlignment w:val="baseline"/>
              <w:rPr>
                <w:rFonts w:ascii="Cambria" w:eastAsia="Times New Roman" w:hAnsi="Cambria" w:cs="Times New Roman"/>
                <w:b/>
                <w:bCs/>
                <w:sz w:val="18"/>
                <w:szCs w:val="18"/>
                <w:lang w:eastAsia="lv-LV"/>
              </w:rPr>
            </w:pPr>
            <w:r w:rsidRPr="00E53255">
              <w:rPr>
                <w:rFonts w:ascii="Cambria" w:eastAsia="Times New Roman" w:hAnsi="Cambria" w:cs="Times New Roman"/>
                <w:b/>
                <w:bCs/>
                <w:sz w:val="18"/>
                <w:szCs w:val="18"/>
                <w:lang w:eastAsia="lv-LV"/>
              </w:rPr>
              <w:t>Tarifs sprieguma pakāpē 0,4kV līnijas</w:t>
            </w:r>
          </w:p>
        </w:tc>
        <w:tc>
          <w:tcPr>
            <w:tcW w:w="1559" w:type="dxa"/>
            <w:tcBorders>
              <w:bottom w:val="single" w:sz="4" w:space="0" w:color="auto"/>
            </w:tcBorders>
            <w:vAlign w:val="center"/>
          </w:tcPr>
          <w:p w14:paraId="73DD0D1C" w14:textId="6093FBE3" w:rsidR="00D76686" w:rsidRPr="00E53255" w:rsidRDefault="00D76686" w:rsidP="00A640CF">
            <w:pPr>
              <w:jc w:val="center"/>
              <w:textAlignment w:val="baseline"/>
              <w:rPr>
                <w:rFonts w:ascii="Cambria" w:eastAsia="Times New Roman" w:hAnsi="Cambria" w:cs="Times New Roman"/>
                <w:b/>
                <w:bCs/>
                <w:sz w:val="18"/>
                <w:szCs w:val="18"/>
                <w:lang w:eastAsia="lv-LV"/>
              </w:rPr>
            </w:pPr>
            <w:r w:rsidRPr="00E53255">
              <w:rPr>
                <w:rFonts w:ascii="Cambria" w:eastAsia="Times New Roman" w:hAnsi="Cambria" w:cs="Times New Roman"/>
                <w:b/>
                <w:bCs/>
                <w:sz w:val="18"/>
                <w:szCs w:val="18"/>
                <w:lang w:eastAsia="lv-LV"/>
              </w:rPr>
              <w:t>Spēkā esošais tarifs (bez PVN)</w:t>
            </w:r>
          </w:p>
        </w:tc>
        <w:tc>
          <w:tcPr>
            <w:tcW w:w="1560" w:type="dxa"/>
            <w:tcBorders>
              <w:bottom w:val="single" w:sz="4" w:space="0" w:color="auto"/>
            </w:tcBorders>
            <w:vAlign w:val="center"/>
          </w:tcPr>
          <w:p w14:paraId="024CE2D6" w14:textId="2F8C56E4" w:rsidR="00D76686" w:rsidRPr="00E53255" w:rsidRDefault="00D76686" w:rsidP="00A640CF">
            <w:pPr>
              <w:jc w:val="center"/>
              <w:textAlignment w:val="baseline"/>
              <w:rPr>
                <w:rFonts w:ascii="Cambria" w:eastAsia="Times New Roman" w:hAnsi="Cambria" w:cs="Times New Roman"/>
                <w:b/>
                <w:bCs/>
                <w:sz w:val="18"/>
                <w:szCs w:val="18"/>
                <w:lang w:eastAsia="lv-LV"/>
              </w:rPr>
            </w:pPr>
            <w:r w:rsidRPr="00E53255">
              <w:rPr>
                <w:rFonts w:ascii="Cambria" w:eastAsia="Times New Roman" w:hAnsi="Cambria" w:cs="Times New Roman"/>
                <w:b/>
                <w:bCs/>
                <w:sz w:val="18"/>
                <w:szCs w:val="18"/>
                <w:lang w:eastAsia="lv-LV"/>
              </w:rPr>
              <w:t>Piedāvātais tarifs </w:t>
            </w:r>
            <w:r w:rsidRPr="00E53255">
              <w:rPr>
                <w:rFonts w:ascii="Cambria" w:eastAsia="Times New Roman" w:hAnsi="Cambria" w:cs="Times New Roman"/>
                <w:b/>
                <w:bCs/>
                <w:sz w:val="18"/>
                <w:szCs w:val="18"/>
                <w:lang w:eastAsia="lv-LV"/>
              </w:rPr>
              <w:br/>
              <w:t>(bez PVN)</w:t>
            </w:r>
          </w:p>
        </w:tc>
        <w:tc>
          <w:tcPr>
            <w:tcW w:w="1972" w:type="dxa"/>
            <w:tcBorders>
              <w:bottom w:val="single" w:sz="4" w:space="0" w:color="auto"/>
            </w:tcBorders>
            <w:vAlign w:val="center"/>
          </w:tcPr>
          <w:p w14:paraId="5AA6E25D" w14:textId="24B87AF8" w:rsidR="00D76686" w:rsidRPr="00E53255" w:rsidRDefault="00D76686" w:rsidP="00A640CF">
            <w:pPr>
              <w:jc w:val="center"/>
              <w:textAlignment w:val="baseline"/>
              <w:rPr>
                <w:rFonts w:ascii="Cambria" w:eastAsia="Times New Roman" w:hAnsi="Cambria" w:cs="Times New Roman"/>
                <w:b/>
                <w:bCs/>
                <w:sz w:val="18"/>
                <w:szCs w:val="18"/>
                <w:lang w:eastAsia="lv-LV"/>
              </w:rPr>
            </w:pPr>
            <w:r w:rsidRPr="00E53255">
              <w:rPr>
                <w:rFonts w:ascii="Cambria" w:eastAsia="Times New Roman" w:hAnsi="Cambria" w:cs="Times New Roman"/>
                <w:b/>
                <w:bCs/>
                <w:sz w:val="18"/>
                <w:szCs w:val="18"/>
                <w:lang w:eastAsia="lv-LV"/>
              </w:rPr>
              <w:t>Tarifa </w:t>
            </w:r>
            <w:r w:rsidRPr="00E53255">
              <w:rPr>
                <w:rFonts w:ascii="Cambria" w:eastAsia="Times New Roman" w:hAnsi="Cambria" w:cs="Times New Roman"/>
                <w:b/>
                <w:bCs/>
                <w:i/>
                <w:iCs/>
                <w:sz w:val="18"/>
                <w:szCs w:val="18"/>
                <w:lang w:eastAsia="lv-LV"/>
              </w:rPr>
              <w:t>palielinājums/ samazinājums</w:t>
            </w:r>
            <w:r w:rsidRPr="00E53255">
              <w:rPr>
                <w:rFonts w:ascii="Cambria" w:eastAsia="Times New Roman" w:hAnsi="Cambria" w:cs="Times New Roman"/>
                <w:b/>
                <w:bCs/>
                <w:sz w:val="18"/>
                <w:szCs w:val="18"/>
                <w:lang w:eastAsia="lv-LV"/>
              </w:rPr>
              <w:t> (%)</w:t>
            </w:r>
          </w:p>
        </w:tc>
      </w:tr>
      <w:tr w:rsidR="00D76686" w:rsidRPr="00E86E18" w14:paraId="556BCA1C" w14:textId="77777777" w:rsidTr="00E53255">
        <w:tc>
          <w:tcPr>
            <w:tcW w:w="3539" w:type="dxa"/>
            <w:tcBorders>
              <w:bottom w:val="nil"/>
            </w:tcBorders>
            <w:hideMark/>
          </w:tcPr>
          <w:p w14:paraId="343D8324" w14:textId="503524FB" w:rsidR="00D76686" w:rsidRPr="00E53255" w:rsidRDefault="00D76686" w:rsidP="00D76686">
            <w:pPr>
              <w:jc w:val="lef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S1: Maksa par elektroenerģiju EUR/kWh vienā laika zonā</w:t>
            </w:r>
          </w:p>
        </w:tc>
        <w:tc>
          <w:tcPr>
            <w:tcW w:w="1559" w:type="dxa"/>
            <w:tcBorders>
              <w:bottom w:val="nil"/>
            </w:tcBorders>
            <w:hideMark/>
          </w:tcPr>
          <w:p w14:paraId="36DCD937" w14:textId="53DAF485" w:rsidR="00D76686" w:rsidRPr="00E53255" w:rsidRDefault="00D76686" w:rsidP="00D76686">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 0,08370</w:t>
            </w:r>
          </w:p>
        </w:tc>
        <w:tc>
          <w:tcPr>
            <w:tcW w:w="1560" w:type="dxa"/>
            <w:vMerge w:val="restart"/>
            <w:tcBorders>
              <w:bottom w:val="nil"/>
            </w:tcBorders>
            <w:hideMark/>
          </w:tcPr>
          <w:p w14:paraId="5185E45A" w14:textId="03744A28" w:rsidR="00D76686" w:rsidRPr="00E53255" w:rsidRDefault="00D76686" w:rsidP="00D76686">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    0,07198</w:t>
            </w:r>
          </w:p>
        </w:tc>
        <w:tc>
          <w:tcPr>
            <w:tcW w:w="1972" w:type="dxa"/>
            <w:tcBorders>
              <w:bottom w:val="nil"/>
            </w:tcBorders>
            <w:hideMark/>
          </w:tcPr>
          <w:p w14:paraId="18963494" w14:textId="2BA89181" w:rsidR="00D76686" w:rsidRPr="00E53255" w:rsidRDefault="00D76686" w:rsidP="00D76686">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  -14.0%</w:t>
            </w:r>
          </w:p>
        </w:tc>
      </w:tr>
      <w:tr w:rsidR="00CA7EB2" w:rsidRPr="00E86E18" w14:paraId="51A41EA3" w14:textId="77777777" w:rsidTr="00E53255">
        <w:tc>
          <w:tcPr>
            <w:tcW w:w="3539" w:type="dxa"/>
            <w:tcBorders>
              <w:top w:val="nil"/>
              <w:bottom w:val="nil"/>
            </w:tcBorders>
          </w:tcPr>
          <w:p w14:paraId="74DA1806" w14:textId="329F318F" w:rsidR="00CA7EB2" w:rsidRPr="00A640CF" w:rsidRDefault="00CA7EB2" w:rsidP="00E53255">
            <w:pPr>
              <w:ind w:left="113"/>
              <w:jc w:val="lef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S1: Maksa par elektroenerģiju EUR/kWh mājsaimniecībām</w:t>
            </w:r>
          </w:p>
        </w:tc>
        <w:tc>
          <w:tcPr>
            <w:tcW w:w="1559" w:type="dxa"/>
            <w:tcBorders>
              <w:top w:val="nil"/>
              <w:bottom w:val="nil"/>
            </w:tcBorders>
          </w:tcPr>
          <w:p w14:paraId="6DD88D25" w14:textId="062D46AB" w:rsidR="00CA7EB2" w:rsidRPr="00A640CF" w:rsidRDefault="00CA7EB2" w:rsidP="00CA7EB2">
            <w:pPr>
              <w:jc w:val="right"/>
              <w:textAlignment w:val="baseline"/>
              <w:rPr>
                <w:rFonts w:ascii="Cambria" w:eastAsia="Times New Roman" w:hAnsi="Cambria" w:cs="Times New Roman"/>
                <w:sz w:val="14"/>
                <w:szCs w:val="14"/>
                <w:lang w:eastAsia="lv-LV"/>
              </w:rPr>
            </w:pPr>
            <w:r w:rsidRPr="00A640CF">
              <w:rPr>
                <w:rFonts w:ascii="Cambria" w:hAnsi="Cambria"/>
                <w:i/>
                <w:iCs/>
                <w:sz w:val="14"/>
                <w:szCs w:val="14"/>
              </w:rPr>
              <w:t>0,08370</w:t>
            </w:r>
          </w:p>
        </w:tc>
        <w:tc>
          <w:tcPr>
            <w:tcW w:w="1560" w:type="dxa"/>
            <w:vMerge/>
            <w:tcBorders>
              <w:top w:val="nil"/>
            </w:tcBorders>
          </w:tcPr>
          <w:p w14:paraId="27ABC518" w14:textId="77777777" w:rsidR="00CA7EB2" w:rsidRPr="00A640CF" w:rsidRDefault="00CA7EB2" w:rsidP="00CA7EB2">
            <w:pPr>
              <w:jc w:val="right"/>
              <w:textAlignment w:val="baseline"/>
              <w:rPr>
                <w:rFonts w:ascii="Cambria" w:eastAsia="Times New Roman" w:hAnsi="Cambria" w:cs="Times New Roman"/>
                <w:sz w:val="14"/>
                <w:szCs w:val="14"/>
                <w:lang w:eastAsia="lv-LV"/>
              </w:rPr>
            </w:pPr>
          </w:p>
        </w:tc>
        <w:tc>
          <w:tcPr>
            <w:tcW w:w="1972" w:type="dxa"/>
            <w:tcBorders>
              <w:top w:val="nil"/>
              <w:bottom w:val="nil"/>
            </w:tcBorders>
          </w:tcPr>
          <w:p w14:paraId="03B4FEEB" w14:textId="286DDE53" w:rsidR="00CA7EB2" w:rsidRPr="00A640CF" w:rsidRDefault="00CA7EB2" w:rsidP="00CA7EB2">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-14,0%</w:t>
            </w:r>
          </w:p>
        </w:tc>
      </w:tr>
      <w:tr w:rsidR="00CA7EB2" w:rsidRPr="00E86E18" w14:paraId="4032C96B" w14:textId="77777777" w:rsidTr="00E53255">
        <w:tc>
          <w:tcPr>
            <w:tcW w:w="3539" w:type="dxa"/>
            <w:tcBorders>
              <w:top w:val="nil"/>
              <w:bottom w:val="nil"/>
            </w:tcBorders>
          </w:tcPr>
          <w:p w14:paraId="4D5D2C58" w14:textId="65591F3A" w:rsidR="00CA7EB2" w:rsidRPr="00A640CF" w:rsidRDefault="00CA7EB2" w:rsidP="00E53255">
            <w:pPr>
              <w:ind w:left="113"/>
              <w:jc w:val="lef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S2: Maksa par elektroenerģiju EUR/kWh dienas zonā</w:t>
            </w:r>
          </w:p>
        </w:tc>
        <w:tc>
          <w:tcPr>
            <w:tcW w:w="1559" w:type="dxa"/>
            <w:tcBorders>
              <w:top w:val="nil"/>
              <w:bottom w:val="nil"/>
            </w:tcBorders>
          </w:tcPr>
          <w:p w14:paraId="0A7B1ACB" w14:textId="5495EA21"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hAnsi="Cambria"/>
                <w:i/>
                <w:iCs/>
                <w:sz w:val="14"/>
                <w:szCs w:val="14"/>
              </w:rPr>
              <w:t>0,08410</w:t>
            </w:r>
          </w:p>
        </w:tc>
        <w:tc>
          <w:tcPr>
            <w:tcW w:w="1560" w:type="dxa"/>
            <w:vMerge/>
          </w:tcPr>
          <w:p w14:paraId="2FBF83A9" w14:textId="77777777" w:rsidR="00CA7EB2" w:rsidRPr="00A640CF" w:rsidRDefault="00CA7EB2" w:rsidP="00CA7EB2">
            <w:pPr>
              <w:jc w:val="right"/>
              <w:textAlignment w:val="baseline"/>
              <w:rPr>
                <w:rFonts w:ascii="Cambria" w:eastAsia="Times New Roman" w:hAnsi="Cambria" w:cs="Times New Roman"/>
                <w:i/>
                <w:iCs/>
                <w:sz w:val="14"/>
                <w:szCs w:val="14"/>
                <w:lang w:eastAsia="lv-LV"/>
              </w:rPr>
            </w:pPr>
          </w:p>
        </w:tc>
        <w:tc>
          <w:tcPr>
            <w:tcW w:w="1972" w:type="dxa"/>
            <w:tcBorders>
              <w:top w:val="nil"/>
              <w:bottom w:val="nil"/>
            </w:tcBorders>
          </w:tcPr>
          <w:p w14:paraId="612AC0C9" w14:textId="7A89B859"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-14,4%</w:t>
            </w:r>
          </w:p>
        </w:tc>
      </w:tr>
      <w:tr w:rsidR="00CA7EB2" w:rsidRPr="00E86E18" w14:paraId="315C6226" w14:textId="77777777" w:rsidTr="00E53255">
        <w:tc>
          <w:tcPr>
            <w:tcW w:w="3539" w:type="dxa"/>
            <w:tcBorders>
              <w:top w:val="nil"/>
              <w:bottom w:val="nil"/>
            </w:tcBorders>
          </w:tcPr>
          <w:p w14:paraId="3D643C9B" w14:textId="36DEB1D9" w:rsidR="00CA7EB2" w:rsidRPr="00A640CF" w:rsidRDefault="00CA7EB2" w:rsidP="00E53255">
            <w:pPr>
              <w:ind w:left="113"/>
              <w:jc w:val="lef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S2: Maksa par elektroenerģiju EUR/kWh nakts zonā un brīvdienās</w:t>
            </w:r>
          </w:p>
        </w:tc>
        <w:tc>
          <w:tcPr>
            <w:tcW w:w="1559" w:type="dxa"/>
            <w:tcBorders>
              <w:top w:val="nil"/>
              <w:bottom w:val="nil"/>
            </w:tcBorders>
          </w:tcPr>
          <w:p w14:paraId="4975CAA5" w14:textId="61F5CD40"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hAnsi="Cambria"/>
                <w:i/>
                <w:iCs/>
                <w:sz w:val="14"/>
                <w:szCs w:val="14"/>
              </w:rPr>
              <w:t>0,08117</w:t>
            </w:r>
          </w:p>
        </w:tc>
        <w:tc>
          <w:tcPr>
            <w:tcW w:w="1560" w:type="dxa"/>
            <w:vMerge/>
          </w:tcPr>
          <w:p w14:paraId="46EBE898" w14:textId="77777777" w:rsidR="00CA7EB2" w:rsidRPr="00A640CF" w:rsidRDefault="00CA7EB2" w:rsidP="00CA7EB2">
            <w:pPr>
              <w:jc w:val="right"/>
              <w:textAlignment w:val="baseline"/>
              <w:rPr>
                <w:rFonts w:ascii="Cambria" w:eastAsia="Times New Roman" w:hAnsi="Cambria" w:cs="Times New Roman"/>
                <w:i/>
                <w:iCs/>
                <w:sz w:val="14"/>
                <w:szCs w:val="14"/>
                <w:lang w:eastAsia="lv-LV"/>
              </w:rPr>
            </w:pPr>
          </w:p>
        </w:tc>
        <w:tc>
          <w:tcPr>
            <w:tcW w:w="1972" w:type="dxa"/>
            <w:tcBorders>
              <w:top w:val="nil"/>
              <w:bottom w:val="nil"/>
            </w:tcBorders>
          </w:tcPr>
          <w:p w14:paraId="6346E216" w14:textId="2248C05D"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-11,3%</w:t>
            </w:r>
          </w:p>
        </w:tc>
      </w:tr>
      <w:tr w:rsidR="00CA7EB2" w:rsidRPr="00E86E18" w14:paraId="76B411BE" w14:textId="77777777" w:rsidTr="00E53255">
        <w:tc>
          <w:tcPr>
            <w:tcW w:w="3539" w:type="dxa"/>
            <w:tcBorders>
              <w:top w:val="nil"/>
              <w:bottom w:val="single" w:sz="4" w:space="0" w:color="auto"/>
            </w:tcBorders>
          </w:tcPr>
          <w:p w14:paraId="6752E454" w14:textId="5497F481" w:rsidR="00CA7EB2" w:rsidRPr="00A640CF" w:rsidRDefault="00CA7EB2" w:rsidP="00E53255">
            <w:pPr>
              <w:ind w:left="113"/>
              <w:jc w:val="lef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S2: Maksa par elektroenerģiju EUR/kWh maksimumstundu zonā</w:t>
            </w:r>
          </w:p>
        </w:tc>
        <w:tc>
          <w:tcPr>
            <w:tcW w:w="1559" w:type="dxa"/>
            <w:tcBorders>
              <w:top w:val="nil"/>
              <w:bottom w:val="single" w:sz="4" w:space="0" w:color="auto"/>
            </w:tcBorders>
          </w:tcPr>
          <w:p w14:paraId="720E6B04" w14:textId="21CEE955"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hAnsi="Cambria"/>
                <w:i/>
                <w:iCs/>
                <w:sz w:val="14"/>
                <w:szCs w:val="14"/>
              </w:rPr>
              <w:t>0,09108</w:t>
            </w:r>
          </w:p>
        </w:tc>
        <w:tc>
          <w:tcPr>
            <w:tcW w:w="1560" w:type="dxa"/>
            <w:vMerge/>
            <w:tcBorders>
              <w:bottom w:val="single" w:sz="4" w:space="0" w:color="auto"/>
            </w:tcBorders>
          </w:tcPr>
          <w:p w14:paraId="2E2C6600" w14:textId="77777777" w:rsidR="00CA7EB2" w:rsidRPr="00A640CF" w:rsidRDefault="00CA7EB2" w:rsidP="00CA7EB2">
            <w:pPr>
              <w:jc w:val="right"/>
              <w:textAlignment w:val="baseline"/>
              <w:rPr>
                <w:rFonts w:ascii="Cambria" w:eastAsia="Times New Roman" w:hAnsi="Cambria" w:cs="Times New Roman"/>
                <w:i/>
                <w:iCs/>
                <w:sz w:val="14"/>
                <w:szCs w:val="14"/>
                <w:lang w:eastAsia="lv-LV"/>
              </w:rPr>
            </w:pPr>
          </w:p>
        </w:tc>
        <w:tc>
          <w:tcPr>
            <w:tcW w:w="1972" w:type="dxa"/>
            <w:tcBorders>
              <w:top w:val="nil"/>
              <w:bottom w:val="single" w:sz="4" w:space="0" w:color="auto"/>
            </w:tcBorders>
          </w:tcPr>
          <w:p w14:paraId="7851D70D" w14:textId="001863A2"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-21.0%</w:t>
            </w:r>
          </w:p>
        </w:tc>
      </w:tr>
      <w:tr w:rsidR="00CA7EB2" w:rsidRPr="00E86E18" w14:paraId="6EFF8266" w14:textId="77777777" w:rsidTr="00E53255">
        <w:tc>
          <w:tcPr>
            <w:tcW w:w="3539" w:type="dxa"/>
            <w:tcBorders>
              <w:bottom w:val="nil"/>
            </w:tcBorders>
          </w:tcPr>
          <w:p w14:paraId="2E077895" w14:textId="70510651" w:rsidR="00CA7EB2" w:rsidRPr="00E53255" w:rsidRDefault="00CA7EB2" w:rsidP="00CA7EB2">
            <w:pPr>
              <w:jc w:val="lef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S1: Maksa par ievadaizsardzības strāvas lielumu EUR/A gadā</w:t>
            </w:r>
          </w:p>
        </w:tc>
        <w:tc>
          <w:tcPr>
            <w:tcW w:w="1559" w:type="dxa"/>
            <w:tcBorders>
              <w:bottom w:val="nil"/>
            </w:tcBorders>
          </w:tcPr>
          <w:p w14:paraId="6FA9A5E5" w14:textId="0DD35C51" w:rsidR="00CA7EB2" w:rsidRPr="00E53255" w:rsidRDefault="00CA7EB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7,01</w:t>
            </w:r>
          </w:p>
        </w:tc>
        <w:tc>
          <w:tcPr>
            <w:tcW w:w="1560" w:type="dxa"/>
            <w:vMerge w:val="restart"/>
          </w:tcPr>
          <w:p w14:paraId="5A4E441E" w14:textId="7F6D824E" w:rsidR="00CA7EB2" w:rsidRPr="00E53255" w:rsidRDefault="00CA7EB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18,00</w:t>
            </w:r>
          </w:p>
        </w:tc>
        <w:tc>
          <w:tcPr>
            <w:tcW w:w="1972" w:type="dxa"/>
            <w:tcBorders>
              <w:bottom w:val="nil"/>
            </w:tcBorders>
          </w:tcPr>
          <w:p w14:paraId="07980B8B" w14:textId="3B8403C5" w:rsidR="00CA7EB2" w:rsidRPr="00E53255" w:rsidRDefault="00CA7EB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+156,8%</w:t>
            </w:r>
          </w:p>
        </w:tc>
      </w:tr>
      <w:tr w:rsidR="00CA7EB2" w:rsidRPr="00E86E18" w14:paraId="14F9EC1B" w14:textId="77777777" w:rsidTr="00E53255">
        <w:tc>
          <w:tcPr>
            <w:tcW w:w="3539" w:type="dxa"/>
            <w:tcBorders>
              <w:top w:val="nil"/>
              <w:bottom w:val="nil"/>
            </w:tcBorders>
          </w:tcPr>
          <w:p w14:paraId="19FF3DDE" w14:textId="4E2EB740" w:rsidR="00CA7EB2" w:rsidRPr="00A640CF" w:rsidRDefault="00CA7EB2" w:rsidP="00E53255">
            <w:pPr>
              <w:ind w:left="113"/>
              <w:jc w:val="lef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S1: Maksa par ievadaizsardzības strāvas lielumu EUR/A gadā mājsaimniecībām</w:t>
            </w:r>
          </w:p>
        </w:tc>
        <w:tc>
          <w:tcPr>
            <w:tcW w:w="1559" w:type="dxa"/>
            <w:tcBorders>
              <w:top w:val="nil"/>
              <w:bottom w:val="nil"/>
            </w:tcBorders>
          </w:tcPr>
          <w:p w14:paraId="6FF536ED" w14:textId="265BF11A"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0,00</w:t>
            </w:r>
          </w:p>
        </w:tc>
        <w:tc>
          <w:tcPr>
            <w:tcW w:w="1560" w:type="dxa"/>
            <w:vMerge/>
          </w:tcPr>
          <w:p w14:paraId="2D4914AA" w14:textId="77777777" w:rsidR="00CA7EB2" w:rsidRPr="00A640CF" w:rsidRDefault="00CA7EB2" w:rsidP="00CA7EB2">
            <w:pPr>
              <w:jc w:val="right"/>
              <w:textAlignment w:val="baseline"/>
              <w:rPr>
                <w:rFonts w:ascii="Cambria" w:eastAsia="Times New Roman" w:hAnsi="Cambria" w:cs="Times New Roman"/>
                <w:sz w:val="14"/>
                <w:szCs w:val="14"/>
                <w:lang w:eastAsia="lv-LV"/>
              </w:rPr>
            </w:pPr>
          </w:p>
        </w:tc>
        <w:tc>
          <w:tcPr>
            <w:tcW w:w="1972" w:type="dxa"/>
            <w:tcBorders>
              <w:top w:val="nil"/>
              <w:bottom w:val="nil"/>
            </w:tcBorders>
          </w:tcPr>
          <w:p w14:paraId="67AA8D41" w14:textId="6A29F909"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w:t>
            </w:r>
          </w:p>
        </w:tc>
      </w:tr>
      <w:tr w:rsidR="00CA7EB2" w:rsidRPr="00E86E18" w14:paraId="3B2E371E" w14:textId="77777777" w:rsidTr="00E53255">
        <w:tc>
          <w:tcPr>
            <w:tcW w:w="3539" w:type="dxa"/>
            <w:tcBorders>
              <w:top w:val="nil"/>
              <w:bottom w:val="single" w:sz="4" w:space="0" w:color="auto"/>
            </w:tcBorders>
          </w:tcPr>
          <w:p w14:paraId="369C57C5" w14:textId="0DF589CE" w:rsidR="00CA7EB2" w:rsidRPr="00A640CF" w:rsidRDefault="00CA7EB2" w:rsidP="00E53255">
            <w:pPr>
              <w:ind w:left="113"/>
              <w:jc w:val="lef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S2: Maksa par ievadaizsardzības strāvas lielumu EUR/A gadā</w:t>
            </w:r>
          </w:p>
        </w:tc>
        <w:tc>
          <w:tcPr>
            <w:tcW w:w="1559" w:type="dxa"/>
            <w:tcBorders>
              <w:top w:val="nil"/>
              <w:bottom w:val="single" w:sz="4" w:space="0" w:color="auto"/>
            </w:tcBorders>
          </w:tcPr>
          <w:p w14:paraId="26DFDF95" w14:textId="341845D2"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7,01</w:t>
            </w:r>
          </w:p>
        </w:tc>
        <w:tc>
          <w:tcPr>
            <w:tcW w:w="1560" w:type="dxa"/>
            <w:vMerge/>
            <w:tcBorders>
              <w:bottom w:val="single" w:sz="4" w:space="0" w:color="auto"/>
            </w:tcBorders>
          </w:tcPr>
          <w:p w14:paraId="759127C0" w14:textId="77777777" w:rsidR="00CA7EB2" w:rsidRPr="00A640CF" w:rsidRDefault="00CA7EB2" w:rsidP="00CA7EB2">
            <w:pPr>
              <w:jc w:val="right"/>
              <w:textAlignment w:val="baseline"/>
              <w:rPr>
                <w:rFonts w:ascii="Cambria" w:eastAsia="Times New Roman" w:hAnsi="Cambria" w:cs="Times New Roman"/>
                <w:sz w:val="14"/>
                <w:szCs w:val="14"/>
                <w:lang w:eastAsia="lv-LV"/>
              </w:rPr>
            </w:pPr>
          </w:p>
        </w:tc>
        <w:tc>
          <w:tcPr>
            <w:tcW w:w="1972" w:type="dxa"/>
            <w:tcBorders>
              <w:top w:val="nil"/>
              <w:bottom w:val="single" w:sz="4" w:space="0" w:color="auto"/>
            </w:tcBorders>
          </w:tcPr>
          <w:p w14:paraId="5CAEDBAC" w14:textId="2E0478C3" w:rsidR="00CA7EB2" w:rsidRPr="00A640CF" w:rsidRDefault="00CA7EB2" w:rsidP="00CA7EB2">
            <w:pPr>
              <w:jc w:val="right"/>
              <w:textAlignment w:val="baseline"/>
              <w:rPr>
                <w:rFonts w:ascii="Cambria" w:eastAsia="Times New Roman" w:hAnsi="Cambria" w:cs="Times New Roman"/>
                <w:i/>
                <w:iCs/>
                <w:sz w:val="14"/>
                <w:szCs w:val="14"/>
                <w:lang w:eastAsia="lv-LV"/>
              </w:rPr>
            </w:pPr>
            <w:r w:rsidRPr="00A640CF">
              <w:rPr>
                <w:rFonts w:ascii="Cambria" w:eastAsia="Times New Roman" w:hAnsi="Cambria" w:cs="Times New Roman"/>
                <w:i/>
                <w:iCs/>
                <w:sz w:val="14"/>
                <w:szCs w:val="14"/>
                <w:lang w:eastAsia="lv-LV"/>
              </w:rPr>
              <w:t>+156,8%</w:t>
            </w:r>
          </w:p>
        </w:tc>
      </w:tr>
      <w:tr w:rsidR="00E53255" w:rsidRPr="00E86E18" w14:paraId="49845B22" w14:textId="77777777" w:rsidTr="00E53255">
        <w:tc>
          <w:tcPr>
            <w:tcW w:w="3539" w:type="dxa"/>
            <w:tcBorders>
              <w:bottom w:val="single" w:sz="4" w:space="0" w:color="auto"/>
            </w:tcBorders>
            <w:vAlign w:val="center"/>
          </w:tcPr>
          <w:p w14:paraId="2478A16B" w14:textId="387EF50A" w:rsidR="00E53255" w:rsidRPr="00CA7EB2" w:rsidRDefault="00E53255" w:rsidP="00E53255">
            <w:pPr>
              <w:jc w:val="left"/>
              <w:textAlignment w:val="baseline"/>
              <w:rPr>
                <w:rFonts w:ascii="Cambria" w:eastAsia="Times New Roman" w:hAnsi="Cambria" w:cs="Times New Roman"/>
                <w:b/>
                <w:bCs/>
                <w:sz w:val="19"/>
                <w:szCs w:val="21"/>
                <w:lang w:eastAsia="lv-LV"/>
              </w:rPr>
            </w:pPr>
            <w:r w:rsidRPr="00E53255">
              <w:rPr>
                <w:rFonts w:ascii="Cambria" w:eastAsia="Times New Roman" w:hAnsi="Cambria" w:cs="Times New Roman"/>
                <w:b/>
                <w:bCs/>
                <w:sz w:val="18"/>
                <w:szCs w:val="18"/>
                <w:lang w:eastAsia="lv-LV"/>
              </w:rPr>
              <w:t xml:space="preserve">Tarifs sprieguma pakāpē 0,4kV </w:t>
            </w:r>
            <w:r w:rsidR="00334243">
              <w:rPr>
                <w:rFonts w:ascii="Cambria" w:eastAsia="Times New Roman" w:hAnsi="Cambria" w:cs="Times New Roman"/>
                <w:b/>
                <w:bCs/>
                <w:sz w:val="18"/>
                <w:szCs w:val="18"/>
                <w:lang w:eastAsia="lv-LV"/>
              </w:rPr>
              <w:t>kopnes</w:t>
            </w:r>
          </w:p>
        </w:tc>
        <w:tc>
          <w:tcPr>
            <w:tcW w:w="1559" w:type="dxa"/>
            <w:tcBorders>
              <w:bottom w:val="single" w:sz="4" w:space="0" w:color="auto"/>
            </w:tcBorders>
            <w:vAlign w:val="center"/>
          </w:tcPr>
          <w:p w14:paraId="42D5543F" w14:textId="3DFC6CCC" w:rsidR="00E53255" w:rsidRPr="00CA7EB2" w:rsidRDefault="00E53255" w:rsidP="00E53255">
            <w:pPr>
              <w:jc w:val="center"/>
              <w:textAlignment w:val="baseline"/>
              <w:rPr>
                <w:rFonts w:ascii="Cambria" w:eastAsia="Times New Roman" w:hAnsi="Cambria" w:cs="Times New Roman"/>
                <w:b/>
                <w:bCs/>
                <w:sz w:val="19"/>
                <w:szCs w:val="21"/>
                <w:lang w:eastAsia="lv-LV"/>
              </w:rPr>
            </w:pPr>
            <w:r w:rsidRPr="00E53255">
              <w:rPr>
                <w:rFonts w:ascii="Cambria" w:eastAsia="Times New Roman" w:hAnsi="Cambria" w:cs="Times New Roman"/>
                <w:b/>
                <w:bCs/>
                <w:sz w:val="18"/>
                <w:szCs w:val="18"/>
                <w:lang w:eastAsia="lv-LV"/>
              </w:rPr>
              <w:t>Spēkā esošais tarifs</w:t>
            </w:r>
            <w:r w:rsidR="00B93637">
              <w:rPr>
                <w:rFonts w:ascii="Cambria" w:eastAsia="Times New Roman" w:hAnsi="Cambria" w:cs="Times New Roman"/>
                <w:b/>
                <w:bCs/>
                <w:sz w:val="18"/>
                <w:szCs w:val="18"/>
                <w:lang w:eastAsia="lv-LV"/>
              </w:rPr>
              <w:t xml:space="preserve"> </w:t>
            </w:r>
            <w:r w:rsidRPr="00E53255">
              <w:rPr>
                <w:rFonts w:ascii="Cambria" w:eastAsia="Times New Roman" w:hAnsi="Cambria" w:cs="Times New Roman"/>
                <w:b/>
                <w:bCs/>
                <w:sz w:val="18"/>
                <w:szCs w:val="18"/>
                <w:lang w:eastAsia="lv-LV"/>
              </w:rPr>
              <w:t>(bez PVN)</w:t>
            </w:r>
          </w:p>
        </w:tc>
        <w:tc>
          <w:tcPr>
            <w:tcW w:w="1560" w:type="dxa"/>
            <w:tcBorders>
              <w:bottom w:val="single" w:sz="4" w:space="0" w:color="auto"/>
            </w:tcBorders>
            <w:vAlign w:val="center"/>
          </w:tcPr>
          <w:p w14:paraId="0D0DCE94" w14:textId="2AC7BC2D" w:rsidR="00E53255" w:rsidRPr="00CA7EB2" w:rsidRDefault="00E53255" w:rsidP="00E53255">
            <w:pPr>
              <w:jc w:val="center"/>
              <w:textAlignment w:val="baseline"/>
              <w:rPr>
                <w:rFonts w:ascii="Cambria" w:eastAsia="Times New Roman" w:hAnsi="Cambria" w:cs="Times New Roman"/>
                <w:b/>
                <w:bCs/>
                <w:sz w:val="19"/>
                <w:szCs w:val="21"/>
                <w:lang w:eastAsia="lv-LV"/>
              </w:rPr>
            </w:pPr>
            <w:r w:rsidRPr="00E53255">
              <w:rPr>
                <w:rFonts w:ascii="Cambria" w:eastAsia="Times New Roman" w:hAnsi="Cambria" w:cs="Times New Roman"/>
                <w:b/>
                <w:bCs/>
                <w:sz w:val="18"/>
                <w:szCs w:val="18"/>
                <w:lang w:eastAsia="lv-LV"/>
              </w:rPr>
              <w:t>Piedāvātais tarifs </w:t>
            </w:r>
            <w:r w:rsidRPr="00E53255">
              <w:rPr>
                <w:rFonts w:ascii="Cambria" w:eastAsia="Times New Roman" w:hAnsi="Cambria" w:cs="Times New Roman"/>
                <w:b/>
                <w:bCs/>
                <w:sz w:val="18"/>
                <w:szCs w:val="18"/>
                <w:lang w:eastAsia="lv-LV"/>
              </w:rPr>
              <w:br/>
              <w:t>(bez PVN)</w:t>
            </w:r>
          </w:p>
        </w:tc>
        <w:tc>
          <w:tcPr>
            <w:tcW w:w="1972" w:type="dxa"/>
            <w:tcBorders>
              <w:bottom w:val="single" w:sz="4" w:space="0" w:color="auto"/>
            </w:tcBorders>
            <w:vAlign w:val="center"/>
          </w:tcPr>
          <w:p w14:paraId="65BAC780" w14:textId="73DD38D5" w:rsidR="00E53255" w:rsidRPr="00CA7EB2" w:rsidRDefault="00E53255" w:rsidP="00E53255">
            <w:pPr>
              <w:jc w:val="center"/>
              <w:textAlignment w:val="baseline"/>
              <w:rPr>
                <w:rFonts w:ascii="Cambria" w:eastAsia="Times New Roman" w:hAnsi="Cambria" w:cs="Times New Roman"/>
                <w:b/>
                <w:bCs/>
                <w:sz w:val="19"/>
                <w:szCs w:val="21"/>
                <w:lang w:eastAsia="lv-LV"/>
              </w:rPr>
            </w:pPr>
            <w:r w:rsidRPr="00E53255">
              <w:rPr>
                <w:rFonts w:ascii="Cambria" w:eastAsia="Times New Roman" w:hAnsi="Cambria" w:cs="Times New Roman"/>
                <w:b/>
                <w:bCs/>
                <w:sz w:val="18"/>
                <w:szCs w:val="18"/>
                <w:lang w:eastAsia="lv-LV"/>
              </w:rPr>
              <w:t>Tarifa </w:t>
            </w:r>
            <w:r w:rsidRPr="00E53255">
              <w:rPr>
                <w:rFonts w:ascii="Cambria" w:eastAsia="Times New Roman" w:hAnsi="Cambria" w:cs="Times New Roman"/>
                <w:b/>
                <w:bCs/>
                <w:i/>
                <w:iCs/>
                <w:sz w:val="18"/>
                <w:szCs w:val="18"/>
                <w:lang w:eastAsia="lv-LV"/>
              </w:rPr>
              <w:t>palielinājums/ samazinājums</w:t>
            </w:r>
            <w:r w:rsidRPr="00E53255">
              <w:rPr>
                <w:rFonts w:ascii="Cambria" w:eastAsia="Times New Roman" w:hAnsi="Cambria" w:cs="Times New Roman"/>
                <w:b/>
                <w:bCs/>
                <w:sz w:val="18"/>
                <w:szCs w:val="18"/>
                <w:lang w:eastAsia="lv-LV"/>
              </w:rPr>
              <w:t xml:space="preserve"> (%)</w:t>
            </w:r>
          </w:p>
        </w:tc>
      </w:tr>
      <w:tr w:rsidR="009E09F2" w:rsidRPr="00E86E18" w14:paraId="1D883593" w14:textId="77777777" w:rsidTr="00E53255">
        <w:tc>
          <w:tcPr>
            <w:tcW w:w="3539" w:type="dxa"/>
            <w:tcBorders>
              <w:bottom w:val="nil"/>
            </w:tcBorders>
          </w:tcPr>
          <w:p w14:paraId="3C2736CF" w14:textId="638BA84E" w:rsidR="009E09F2" w:rsidRPr="00E53255" w:rsidRDefault="006C1004" w:rsidP="00CA7EB2">
            <w:pPr>
              <w:jc w:val="lef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S1: Maksa par elektroenerģiju EUR/kWh vienā laika zonā</w:t>
            </w:r>
          </w:p>
        </w:tc>
        <w:tc>
          <w:tcPr>
            <w:tcW w:w="1559" w:type="dxa"/>
            <w:tcBorders>
              <w:bottom w:val="nil"/>
            </w:tcBorders>
          </w:tcPr>
          <w:p w14:paraId="476E7A57" w14:textId="041AF528" w:rsidR="009E09F2" w:rsidRPr="00E53255" w:rsidRDefault="009E09F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0,06147</w:t>
            </w:r>
          </w:p>
        </w:tc>
        <w:tc>
          <w:tcPr>
            <w:tcW w:w="1560" w:type="dxa"/>
            <w:vMerge w:val="restart"/>
          </w:tcPr>
          <w:p w14:paraId="74583EF5" w14:textId="1597C94E" w:rsidR="009E09F2" w:rsidRPr="00E53255" w:rsidRDefault="009E09F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    0,05333</w:t>
            </w:r>
          </w:p>
        </w:tc>
        <w:tc>
          <w:tcPr>
            <w:tcW w:w="1972" w:type="dxa"/>
            <w:tcBorders>
              <w:bottom w:val="nil"/>
            </w:tcBorders>
          </w:tcPr>
          <w:p w14:paraId="787437A9" w14:textId="1A0226C5" w:rsidR="009E09F2" w:rsidRPr="00E53255" w:rsidRDefault="009E09F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-13,2%</w:t>
            </w:r>
          </w:p>
        </w:tc>
      </w:tr>
      <w:tr w:rsidR="009E09F2" w:rsidRPr="00E86E18" w14:paraId="142C952E" w14:textId="77777777" w:rsidTr="00E53255">
        <w:tc>
          <w:tcPr>
            <w:tcW w:w="3539" w:type="dxa"/>
            <w:tcBorders>
              <w:top w:val="nil"/>
              <w:bottom w:val="nil"/>
            </w:tcBorders>
          </w:tcPr>
          <w:p w14:paraId="07A5F0D7" w14:textId="55072963" w:rsidR="009E09F2" w:rsidRPr="00A640CF" w:rsidRDefault="009E09F2" w:rsidP="00E53255">
            <w:pPr>
              <w:ind w:left="113"/>
              <w:jc w:val="lef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S2: Maksa par elektroenerģiju EUR/kWh dienas zonā</w:t>
            </w:r>
          </w:p>
        </w:tc>
        <w:tc>
          <w:tcPr>
            <w:tcW w:w="1559" w:type="dxa"/>
            <w:tcBorders>
              <w:top w:val="nil"/>
              <w:bottom w:val="nil"/>
            </w:tcBorders>
          </w:tcPr>
          <w:p w14:paraId="04151298" w14:textId="0D605BB7" w:rsidR="009E09F2" w:rsidRPr="00A640CF" w:rsidRDefault="009E09F2" w:rsidP="009E09F2">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0,06179</w:t>
            </w:r>
          </w:p>
        </w:tc>
        <w:tc>
          <w:tcPr>
            <w:tcW w:w="1560" w:type="dxa"/>
            <w:vMerge/>
          </w:tcPr>
          <w:p w14:paraId="37770452" w14:textId="7648E95D" w:rsidR="009E09F2" w:rsidRPr="00A640CF" w:rsidRDefault="009E09F2" w:rsidP="009E09F2">
            <w:pPr>
              <w:jc w:val="right"/>
              <w:textAlignment w:val="baseline"/>
              <w:rPr>
                <w:rFonts w:ascii="Cambria" w:eastAsia="Times New Roman" w:hAnsi="Cambria" w:cs="Times New Roman"/>
                <w:i/>
                <w:iCs/>
                <w:sz w:val="14"/>
                <w:szCs w:val="14"/>
                <w:lang w:eastAsia="lv-LV"/>
              </w:rPr>
            </w:pPr>
          </w:p>
        </w:tc>
        <w:tc>
          <w:tcPr>
            <w:tcW w:w="1972" w:type="dxa"/>
            <w:tcBorders>
              <w:top w:val="nil"/>
              <w:bottom w:val="nil"/>
            </w:tcBorders>
          </w:tcPr>
          <w:p w14:paraId="6BED92FB" w14:textId="29555659" w:rsidR="009E09F2" w:rsidRPr="00A640CF" w:rsidRDefault="009E09F2" w:rsidP="009E09F2">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-13,7%</w:t>
            </w:r>
          </w:p>
        </w:tc>
      </w:tr>
      <w:tr w:rsidR="009E09F2" w:rsidRPr="00E86E18" w14:paraId="6F3DCD39" w14:textId="77777777" w:rsidTr="00E53255">
        <w:tc>
          <w:tcPr>
            <w:tcW w:w="3539" w:type="dxa"/>
            <w:tcBorders>
              <w:top w:val="nil"/>
              <w:bottom w:val="nil"/>
            </w:tcBorders>
          </w:tcPr>
          <w:p w14:paraId="3F44F14A" w14:textId="1859AC6C" w:rsidR="009E09F2" w:rsidRPr="00A640CF" w:rsidRDefault="009E09F2" w:rsidP="00E53255">
            <w:pPr>
              <w:ind w:left="113"/>
              <w:jc w:val="lef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S2: Maksa par elektroenerģiju EUR/kWh nakts zonā un brīvdienās</w:t>
            </w:r>
          </w:p>
        </w:tc>
        <w:tc>
          <w:tcPr>
            <w:tcW w:w="1559" w:type="dxa"/>
            <w:tcBorders>
              <w:top w:val="nil"/>
              <w:bottom w:val="nil"/>
            </w:tcBorders>
          </w:tcPr>
          <w:p w14:paraId="52E96DD6" w14:textId="78126934" w:rsidR="009E09F2" w:rsidRPr="00A640CF" w:rsidRDefault="009E09F2" w:rsidP="009E09F2">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0,05885</w:t>
            </w:r>
          </w:p>
        </w:tc>
        <w:tc>
          <w:tcPr>
            <w:tcW w:w="1560" w:type="dxa"/>
            <w:vMerge/>
          </w:tcPr>
          <w:p w14:paraId="60278F4B" w14:textId="662D9223" w:rsidR="009E09F2" w:rsidRPr="00A640CF" w:rsidRDefault="009E09F2" w:rsidP="009E09F2">
            <w:pPr>
              <w:jc w:val="right"/>
              <w:textAlignment w:val="baseline"/>
              <w:rPr>
                <w:rFonts w:ascii="Cambria" w:eastAsia="Times New Roman" w:hAnsi="Cambria" w:cs="Times New Roman"/>
                <w:i/>
                <w:iCs/>
                <w:sz w:val="14"/>
                <w:szCs w:val="14"/>
                <w:lang w:eastAsia="lv-LV"/>
              </w:rPr>
            </w:pPr>
          </w:p>
        </w:tc>
        <w:tc>
          <w:tcPr>
            <w:tcW w:w="1972" w:type="dxa"/>
            <w:tcBorders>
              <w:top w:val="nil"/>
              <w:bottom w:val="nil"/>
            </w:tcBorders>
          </w:tcPr>
          <w:p w14:paraId="68B1274E" w14:textId="2BEF0B42" w:rsidR="009E09F2" w:rsidRPr="00A640CF" w:rsidRDefault="009E09F2" w:rsidP="009E09F2">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-9,4%</w:t>
            </w:r>
          </w:p>
        </w:tc>
      </w:tr>
      <w:tr w:rsidR="009E09F2" w:rsidRPr="00E86E18" w14:paraId="387FDFC4" w14:textId="77777777" w:rsidTr="00E53255">
        <w:tc>
          <w:tcPr>
            <w:tcW w:w="3539" w:type="dxa"/>
            <w:tcBorders>
              <w:top w:val="nil"/>
              <w:bottom w:val="single" w:sz="4" w:space="0" w:color="auto"/>
            </w:tcBorders>
          </w:tcPr>
          <w:p w14:paraId="6B902678" w14:textId="43C5B355" w:rsidR="009E09F2" w:rsidRPr="00A640CF" w:rsidRDefault="009E09F2" w:rsidP="00E53255">
            <w:pPr>
              <w:ind w:left="113"/>
              <w:jc w:val="lef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S2: Maksa par elektroenerģiju EUR/kWh maksimumstundu zonā</w:t>
            </w:r>
          </w:p>
        </w:tc>
        <w:tc>
          <w:tcPr>
            <w:tcW w:w="1559" w:type="dxa"/>
            <w:tcBorders>
              <w:top w:val="nil"/>
              <w:bottom w:val="single" w:sz="4" w:space="0" w:color="auto"/>
            </w:tcBorders>
          </w:tcPr>
          <w:p w14:paraId="1420C168" w14:textId="3D9F901F" w:rsidR="009E09F2" w:rsidRPr="00A640CF" w:rsidRDefault="009E09F2" w:rsidP="009E09F2">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0,06879</w:t>
            </w:r>
          </w:p>
        </w:tc>
        <w:tc>
          <w:tcPr>
            <w:tcW w:w="1560" w:type="dxa"/>
            <w:vMerge/>
            <w:tcBorders>
              <w:bottom w:val="single" w:sz="4" w:space="0" w:color="auto"/>
            </w:tcBorders>
          </w:tcPr>
          <w:p w14:paraId="47A87757" w14:textId="7D4C4491" w:rsidR="009E09F2" w:rsidRPr="00A640CF" w:rsidRDefault="009E09F2" w:rsidP="009E09F2">
            <w:pPr>
              <w:jc w:val="right"/>
              <w:textAlignment w:val="baseline"/>
              <w:rPr>
                <w:rFonts w:ascii="Cambria" w:eastAsia="Times New Roman" w:hAnsi="Cambria" w:cs="Times New Roman"/>
                <w:i/>
                <w:iCs/>
                <w:sz w:val="14"/>
                <w:szCs w:val="14"/>
                <w:lang w:eastAsia="lv-LV"/>
              </w:rPr>
            </w:pPr>
          </w:p>
        </w:tc>
        <w:tc>
          <w:tcPr>
            <w:tcW w:w="1972" w:type="dxa"/>
            <w:tcBorders>
              <w:top w:val="nil"/>
              <w:bottom w:val="single" w:sz="4" w:space="0" w:color="auto"/>
            </w:tcBorders>
          </w:tcPr>
          <w:p w14:paraId="24F7262A" w14:textId="1C95ED76" w:rsidR="009E09F2" w:rsidRPr="00A640CF" w:rsidRDefault="009E09F2" w:rsidP="009E09F2">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-22,5%</w:t>
            </w:r>
          </w:p>
        </w:tc>
      </w:tr>
      <w:tr w:rsidR="00A359BE" w:rsidRPr="00E86E18" w14:paraId="7C062B1D" w14:textId="77777777" w:rsidTr="00E53255">
        <w:tc>
          <w:tcPr>
            <w:tcW w:w="3539" w:type="dxa"/>
            <w:tcBorders>
              <w:top w:val="single" w:sz="4" w:space="0" w:color="auto"/>
              <w:bottom w:val="nil"/>
            </w:tcBorders>
          </w:tcPr>
          <w:p w14:paraId="321839EC" w14:textId="05944CF8" w:rsidR="00A359BE" w:rsidRPr="00E53255" w:rsidRDefault="00A359BE" w:rsidP="00CA7EB2">
            <w:pPr>
              <w:jc w:val="lef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S1: Maksa par ievadaizsardzības strāvas lielumu EUR/A gadā</w:t>
            </w:r>
          </w:p>
        </w:tc>
        <w:tc>
          <w:tcPr>
            <w:tcW w:w="1559" w:type="dxa"/>
            <w:tcBorders>
              <w:top w:val="single" w:sz="4" w:space="0" w:color="auto"/>
              <w:bottom w:val="nil"/>
            </w:tcBorders>
          </w:tcPr>
          <w:p w14:paraId="6672D81E" w14:textId="25598B68" w:rsidR="00A359BE" w:rsidRPr="00E53255" w:rsidRDefault="00A359BE"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7,01</w:t>
            </w:r>
          </w:p>
        </w:tc>
        <w:tc>
          <w:tcPr>
            <w:tcW w:w="1560" w:type="dxa"/>
            <w:vMerge w:val="restart"/>
            <w:tcBorders>
              <w:top w:val="single" w:sz="4" w:space="0" w:color="auto"/>
            </w:tcBorders>
          </w:tcPr>
          <w:p w14:paraId="5ED9D861" w14:textId="2B0EA77F" w:rsidR="00A359BE" w:rsidRPr="00E53255" w:rsidRDefault="00A359BE"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12,00</w:t>
            </w:r>
          </w:p>
        </w:tc>
        <w:tc>
          <w:tcPr>
            <w:tcW w:w="1972" w:type="dxa"/>
            <w:tcBorders>
              <w:top w:val="single" w:sz="4" w:space="0" w:color="auto"/>
              <w:bottom w:val="nil"/>
            </w:tcBorders>
          </w:tcPr>
          <w:p w14:paraId="664EE724" w14:textId="602286F3" w:rsidR="00A359BE" w:rsidRPr="00E53255" w:rsidRDefault="00A359BE"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w:t>
            </w:r>
            <w:r w:rsidR="009928D5">
              <w:rPr>
                <w:rFonts w:ascii="Cambria" w:eastAsia="Times New Roman" w:hAnsi="Cambria" w:cs="Times New Roman"/>
                <w:sz w:val="18"/>
                <w:szCs w:val="18"/>
                <w:lang w:eastAsia="lv-LV"/>
              </w:rPr>
              <w:t>71</w:t>
            </w:r>
            <w:r w:rsidRPr="00E53255">
              <w:rPr>
                <w:rFonts w:ascii="Cambria" w:eastAsia="Times New Roman" w:hAnsi="Cambria" w:cs="Times New Roman"/>
                <w:sz w:val="18"/>
                <w:szCs w:val="18"/>
                <w:lang w:eastAsia="lv-LV"/>
              </w:rPr>
              <w:t>,</w:t>
            </w:r>
            <w:r w:rsidR="009928D5">
              <w:rPr>
                <w:rFonts w:ascii="Cambria" w:eastAsia="Times New Roman" w:hAnsi="Cambria" w:cs="Times New Roman"/>
                <w:sz w:val="18"/>
                <w:szCs w:val="18"/>
                <w:lang w:eastAsia="lv-LV"/>
              </w:rPr>
              <w:t>2</w:t>
            </w:r>
            <w:r w:rsidRPr="00E53255">
              <w:rPr>
                <w:rFonts w:ascii="Cambria" w:eastAsia="Times New Roman" w:hAnsi="Cambria" w:cs="Times New Roman"/>
                <w:sz w:val="18"/>
                <w:szCs w:val="18"/>
                <w:lang w:eastAsia="lv-LV"/>
              </w:rPr>
              <w:t>%</w:t>
            </w:r>
          </w:p>
        </w:tc>
      </w:tr>
      <w:tr w:rsidR="00A359BE" w:rsidRPr="00E86E18" w14:paraId="5FD8CC2C" w14:textId="77777777" w:rsidTr="00E53255">
        <w:tc>
          <w:tcPr>
            <w:tcW w:w="3539" w:type="dxa"/>
            <w:tcBorders>
              <w:top w:val="nil"/>
              <w:bottom w:val="single" w:sz="4" w:space="0" w:color="auto"/>
            </w:tcBorders>
          </w:tcPr>
          <w:p w14:paraId="373E64B0" w14:textId="75C77C8A" w:rsidR="00A359BE" w:rsidRPr="00E86E18" w:rsidRDefault="00A359BE" w:rsidP="00E53255">
            <w:pPr>
              <w:ind w:left="113"/>
              <w:jc w:val="left"/>
              <w:textAlignment w:val="baseline"/>
              <w:rPr>
                <w:rFonts w:ascii="Cambria" w:eastAsia="Times New Roman" w:hAnsi="Cambria" w:cs="Times New Roman"/>
                <w:sz w:val="19"/>
                <w:szCs w:val="21"/>
                <w:lang w:eastAsia="lv-LV"/>
              </w:rPr>
            </w:pPr>
            <w:r w:rsidRPr="00CA7EB2">
              <w:rPr>
                <w:rFonts w:ascii="Cambria" w:eastAsia="Times New Roman" w:hAnsi="Cambria" w:cs="Times New Roman"/>
                <w:i/>
                <w:iCs/>
                <w:sz w:val="16"/>
                <w:szCs w:val="16"/>
                <w:lang w:eastAsia="lv-LV"/>
              </w:rPr>
              <w:t>S</w:t>
            </w:r>
            <w:r>
              <w:rPr>
                <w:rFonts w:ascii="Cambria" w:eastAsia="Times New Roman" w:hAnsi="Cambria" w:cs="Times New Roman"/>
                <w:i/>
                <w:iCs/>
                <w:sz w:val="16"/>
                <w:szCs w:val="16"/>
                <w:lang w:eastAsia="lv-LV"/>
              </w:rPr>
              <w:t>2</w:t>
            </w:r>
            <w:r w:rsidRPr="00CA7EB2">
              <w:rPr>
                <w:rFonts w:ascii="Cambria" w:eastAsia="Times New Roman" w:hAnsi="Cambria" w:cs="Times New Roman"/>
                <w:i/>
                <w:iCs/>
                <w:sz w:val="16"/>
                <w:szCs w:val="16"/>
                <w:lang w:eastAsia="lv-LV"/>
              </w:rPr>
              <w:t>: Maksa par ievadaizsardzības strāvas lielumu EUR/A gadā</w:t>
            </w:r>
          </w:p>
        </w:tc>
        <w:tc>
          <w:tcPr>
            <w:tcW w:w="1559" w:type="dxa"/>
            <w:tcBorders>
              <w:top w:val="nil"/>
              <w:bottom w:val="single" w:sz="4" w:space="0" w:color="auto"/>
            </w:tcBorders>
          </w:tcPr>
          <w:p w14:paraId="6FA9835C" w14:textId="0101AF53" w:rsidR="00A359BE" w:rsidRDefault="00A359BE" w:rsidP="00CA7EB2">
            <w:pPr>
              <w:jc w:val="right"/>
              <w:textAlignment w:val="baseline"/>
              <w:rPr>
                <w:rFonts w:ascii="Cambria" w:eastAsia="Times New Roman" w:hAnsi="Cambria" w:cs="Times New Roman"/>
                <w:sz w:val="19"/>
                <w:szCs w:val="21"/>
                <w:lang w:eastAsia="lv-LV"/>
              </w:rPr>
            </w:pPr>
            <w:r w:rsidRPr="00CA7EB2">
              <w:rPr>
                <w:rFonts w:ascii="Cambria" w:eastAsia="Times New Roman" w:hAnsi="Cambria" w:cs="Times New Roman"/>
                <w:i/>
                <w:iCs/>
                <w:sz w:val="16"/>
                <w:szCs w:val="16"/>
                <w:lang w:eastAsia="lv-LV"/>
              </w:rPr>
              <w:t>7,01</w:t>
            </w:r>
          </w:p>
        </w:tc>
        <w:tc>
          <w:tcPr>
            <w:tcW w:w="1560" w:type="dxa"/>
            <w:vMerge/>
            <w:tcBorders>
              <w:bottom w:val="single" w:sz="4" w:space="0" w:color="auto"/>
            </w:tcBorders>
          </w:tcPr>
          <w:p w14:paraId="55214EF1" w14:textId="1D8BAE93" w:rsidR="00A359BE" w:rsidRPr="004A3D13" w:rsidRDefault="00A359BE" w:rsidP="00CA7EB2">
            <w:pPr>
              <w:jc w:val="right"/>
              <w:textAlignment w:val="baseline"/>
              <w:rPr>
                <w:rFonts w:ascii="Cambria" w:eastAsia="Times New Roman" w:hAnsi="Cambria" w:cs="Times New Roman"/>
                <w:i/>
                <w:iCs/>
                <w:sz w:val="16"/>
                <w:szCs w:val="16"/>
                <w:lang w:eastAsia="lv-LV"/>
              </w:rPr>
            </w:pPr>
          </w:p>
        </w:tc>
        <w:tc>
          <w:tcPr>
            <w:tcW w:w="1972" w:type="dxa"/>
            <w:tcBorders>
              <w:top w:val="nil"/>
              <w:bottom w:val="single" w:sz="4" w:space="0" w:color="auto"/>
            </w:tcBorders>
          </w:tcPr>
          <w:p w14:paraId="79DE4A64" w14:textId="521F3529" w:rsidR="00A359BE" w:rsidRPr="004A3D13" w:rsidRDefault="00A359BE" w:rsidP="00CA7EB2">
            <w:pPr>
              <w:jc w:val="right"/>
              <w:textAlignment w:val="baseline"/>
              <w:rPr>
                <w:rFonts w:ascii="Cambria" w:eastAsia="Times New Roman" w:hAnsi="Cambria" w:cs="Times New Roman"/>
                <w:i/>
                <w:iCs/>
                <w:sz w:val="16"/>
                <w:szCs w:val="16"/>
                <w:lang w:eastAsia="lv-LV"/>
              </w:rPr>
            </w:pPr>
            <w:r w:rsidRPr="004A3D13">
              <w:rPr>
                <w:rFonts w:ascii="Cambria" w:eastAsia="Times New Roman" w:hAnsi="Cambria" w:cs="Times New Roman"/>
                <w:i/>
                <w:iCs/>
                <w:sz w:val="16"/>
                <w:szCs w:val="16"/>
                <w:lang w:eastAsia="lv-LV"/>
              </w:rPr>
              <w:t>+</w:t>
            </w:r>
            <w:r w:rsidR="009928D5">
              <w:rPr>
                <w:rFonts w:ascii="Cambria" w:eastAsia="Times New Roman" w:hAnsi="Cambria" w:cs="Times New Roman"/>
                <w:i/>
                <w:iCs/>
                <w:sz w:val="16"/>
                <w:szCs w:val="16"/>
                <w:lang w:eastAsia="lv-LV"/>
              </w:rPr>
              <w:t>71</w:t>
            </w:r>
            <w:r w:rsidRPr="004A3D13">
              <w:rPr>
                <w:rFonts w:ascii="Cambria" w:eastAsia="Times New Roman" w:hAnsi="Cambria" w:cs="Times New Roman"/>
                <w:i/>
                <w:iCs/>
                <w:sz w:val="16"/>
                <w:szCs w:val="16"/>
                <w:lang w:eastAsia="lv-LV"/>
              </w:rPr>
              <w:t>,</w:t>
            </w:r>
            <w:r w:rsidR="009928D5">
              <w:rPr>
                <w:rFonts w:ascii="Cambria" w:eastAsia="Times New Roman" w:hAnsi="Cambria" w:cs="Times New Roman"/>
                <w:i/>
                <w:iCs/>
                <w:sz w:val="16"/>
                <w:szCs w:val="16"/>
                <w:lang w:eastAsia="lv-LV"/>
              </w:rPr>
              <w:t>2</w:t>
            </w:r>
            <w:r w:rsidRPr="004A3D13">
              <w:rPr>
                <w:rFonts w:ascii="Cambria" w:eastAsia="Times New Roman" w:hAnsi="Cambria" w:cs="Times New Roman"/>
                <w:i/>
                <w:iCs/>
                <w:sz w:val="16"/>
                <w:szCs w:val="16"/>
                <w:lang w:eastAsia="lv-LV"/>
              </w:rPr>
              <w:t>%</w:t>
            </w:r>
          </w:p>
        </w:tc>
      </w:tr>
      <w:tr w:rsidR="00543BA5" w:rsidRPr="00E86E18" w14:paraId="47161452" w14:textId="77777777" w:rsidTr="00E53255">
        <w:tc>
          <w:tcPr>
            <w:tcW w:w="3539" w:type="dxa"/>
            <w:tcBorders>
              <w:bottom w:val="single" w:sz="4" w:space="0" w:color="auto"/>
            </w:tcBorders>
            <w:vAlign w:val="center"/>
            <w:hideMark/>
          </w:tcPr>
          <w:p w14:paraId="233584CB" w14:textId="64966B14" w:rsidR="00543BA5" w:rsidRPr="00E86E18" w:rsidRDefault="00543BA5" w:rsidP="00543BA5">
            <w:pPr>
              <w:jc w:val="left"/>
              <w:textAlignment w:val="baseline"/>
              <w:rPr>
                <w:rFonts w:ascii="Cambria" w:eastAsia="Times New Roman" w:hAnsi="Cambria" w:cs="Times New Roman"/>
                <w:sz w:val="19"/>
                <w:szCs w:val="24"/>
                <w:lang w:eastAsia="lv-LV"/>
              </w:rPr>
            </w:pPr>
            <w:r w:rsidRPr="00E53255">
              <w:rPr>
                <w:rFonts w:ascii="Cambria" w:eastAsia="Times New Roman" w:hAnsi="Cambria" w:cs="Times New Roman"/>
                <w:b/>
                <w:bCs/>
                <w:sz w:val="18"/>
                <w:szCs w:val="18"/>
                <w:lang w:eastAsia="lv-LV"/>
              </w:rPr>
              <w:t xml:space="preserve">Tarifs sprieguma pakāpē </w:t>
            </w:r>
            <w:r>
              <w:rPr>
                <w:rFonts w:ascii="Cambria" w:eastAsia="Times New Roman" w:hAnsi="Cambria" w:cs="Times New Roman"/>
                <w:b/>
                <w:bCs/>
                <w:sz w:val="18"/>
                <w:szCs w:val="18"/>
                <w:lang w:eastAsia="lv-LV"/>
              </w:rPr>
              <w:t>6-20kV</w:t>
            </w:r>
            <w:r w:rsidRPr="00E53255">
              <w:rPr>
                <w:rFonts w:ascii="Cambria" w:eastAsia="Times New Roman" w:hAnsi="Cambria" w:cs="Times New Roman"/>
                <w:b/>
                <w:bCs/>
                <w:sz w:val="18"/>
                <w:szCs w:val="18"/>
                <w:lang w:eastAsia="lv-LV"/>
              </w:rPr>
              <w:t xml:space="preserve"> līnijas</w:t>
            </w:r>
          </w:p>
        </w:tc>
        <w:tc>
          <w:tcPr>
            <w:tcW w:w="1559" w:type="dxa"/>
            <w:tcBorders>
              <w:bottom w:val="single" w:sz="4" w:space="0" w:color="auto"/>
            </w:tcBorders>
            <w:vAlign w:val="center"/>
            <w:hideMark/>
          </w:tcPr>
          <w:p w14:paraId="57341372" w14:textId="28EC054F" w:rsidR="00543BA5" w:rsidRPr="00E86E18" w:rsidRDefault="00543BA5" w:rsidP="00543BA5">
            <w:pPr>
              <w:jc w:val="center"/>
              <w:textAlignment w:val="baseline"/>
              <w:rPr>
                <w:rFonts w:ascii="Cambria" w:eastAsia="Times New Roman" w:hAnsi="Cambria" w:cs="Times New Roman"/>
                <w:sz w:val="19"/>
                <w:szCs w:val="24"/>
                <w:lang w:eastAsia="lv-LV"/>
              </w:rPr>
            </w:pPr>
            <w:r w:rsidRPr="00E53255">
              <w:rPr>
                <w:rFonts w:ascii="Cambria" w:eastAsia="Times New Roman" w:hAnsi="Cambria" w:cs="Times New Roman"/>
                <w:b/>
                <w:bCs/>
                <w:sz w:val="18"/>
                <w:szCs w:val="18"/>
                <w:lang w:eastAsia="lv-LV"/>
              </w:rPr>
              <w:t>Spēkā esošais tarifs (bez PVN)</w:t>
            </w:r>
          </w:p>
        </w:tc>
        <w:tc>
          <w:tcPr>
            <w:tcW w:w="1560" w:type="dxa"/>
            <w:tcBorders>
              <w:bottom w:val="single" w:sz="4" w:space="0" w:color="auto"/>
            </w:tcBorders>
            <w:vAlign w:val="center"/>
            <w:hideMark/>
          </w:tcPr>
          <w:p w14:paraId="03DAE2FF" w14:textId="34A59192" w:rsidR="00543BA5" w:rsidRPr="00E86E18" w:rsidRDefault="00543BA5" w:rsidP="00543BA5">
            <w:pPr>
              <w:jc w:val="center"/>
              <w:textAlignment w:val="baseline"/>
              <w:rPr>
                <w:rFonts w:ascii="Cambria" w:eastAsia="Times New Roman" w:hAnsi="Cambria" w:cs="Times New Roman"/>
                <w:sz w:val="19"/>
                <w:szCs w:val="24"/>
                <w:lang w:eastAsia="lv-LV"/>
              </w:rPr>
            </w:pPr>
            <w:r w:rsidRPr="00E53255">
              <w:rPr>
                <w:rFonts w:ascii="Cambria" w:eastAsia="Times New Roman" w:hAnsi="Cambria" w:cs="Times New Roman"/>
                <w:b/>
                <w:bCs/>
                <w:sz w:val="18"/>
                <w:szCs w:val="18"/>
                <w:lang w:eastAsia="lv-LV"/>
              </w:rPr>
              <w:t>Piedāvātais tarifs </w:t>
            </w:r>
            <w:r w:rsidRPr="00E53255">
              <w:rPr>
                <w:rFonts w:ascii="Cambria" w:eastAsia="Times New Roman" w:hAnsi="Cambria" w:cs="Times New Roman"/>
                <w:b/>
                <w:bCs/>
                <w:sz w:val="18"/>
                <w:szCs w:val="18"/>
                <w:lang w:eastAsia="lv-LV"/>
              </w:rPr>
              <w:br/>
              <w:t>(bez PVN)</w:t>
            </w:r>
          </w:p>
        </w:tc>
        <w:tc>
          <w:tcPr>
            <w:tcW w:w="1972" w:type="dxa"/>
            <w:tcBorders>
              <w:bottom w:val="single" w:sz="4" w:space="0" w:color="auto"/>
            </w:tcBorders>
            <w:vAlign w:val="center"/>
            <w:hideMark/>
          </w:tcPr>
          <w:p w14:paraId="7F42F74C" w14:textId="36B8EFD0" w:rsidR="00543BA5" w:rsidRPr="00E86E18" w:rsidRDefault="00543BA5" w:rsidP="00543BA5">
            <w:pPr>
              <w:jc w:val="center"/>
              <w:textAlignment w:val="baseline"/>
              <w:rPr>
                <w:rFonts w:ascii="Cambria" w:eastAsia="Times New Roman" w:hAnsi="Cambria" w:cs="Times New Roman"/>
                <w:sz w:val="19"/>
                <w:szCs w:val="24"/>
                <w:lang w:eastAsia="lv-LV"/>
              </w:rPr>
            </w:pPr>
            <w:r w:rsidRPr="00E53255">
              <w:rPr>
                <w:rFonts w:ascii="Cambria" w:eastAsia="Times New Roman" w:hAnsi="Cambria" w:cs="Times New Roman"/>
                <w:b/>
                <w:bCs/>
                <w:sz w:val="18"/>
                <w:szCs w:val="18"/>
                <w:lang w:eastAsia="lv-LV"/>
              </w:rPr>
              <w:t>Tarifa </w:t>
            </w:r>
            <w:r w:rsidRPr="00E53255">
              <w:rPr>
                <w:rFonts w:ascii="Cambria" w:eastAsia="Times New Roman" w:hAnsi="Cambria" w:cs="Times New Roman"/>
                <w:b/>
                <w:bCs/>
                <w:i/>
                <w:iCs/>
                <w:sz w:val="18"/>
                <w:szCs w:val="18"/>
                <w:lang w:eastAsia="lv-LV"/>
              </w:rPr>
              <w:t>palielinājums/ samazinājums</w:t>
            </w:r>
            <w:r w:rsidRPr="00E53255">
              <w:rPr>
                <w:rFonts w:ascii="Cambria" w:eastAsia="Times New Roman" w:hAnsi="Cambria" w:cs="Times New Roman"/>
                <w:b/>
                <w:bCs/>
                <w:sz w:val="18"/>
                <w:szCs w:val="18"/>
                <w:lang w:eastAsia="lv-LV"/>
              </w:rPr>
              <w:t xml:space="preserve"> (%)</w:t>
            </w:r>
          </w:p>
        </w:tc>
      </w:tr>
      <w:tr w:rsidR="00CA7EB2" w:rsidRPr="00E86E18" w14:paraId="6B30CC99" w14:textId="77777777" w:rsidTr="00E53255">
        <w:tc>
          <w:tcPr>
            <w:tcW w:w="3539" w:type="dxa"/>
            <w:tcBorders>
              <w:bottom w:val="nil"/>
            </w:tcBorders>
          </w:tcPr>
          <w:p w14:paraId="5CC2844B" w14:textId="69BBCC8F" w:rsidR="00CA7EB2" w:rsidRPr="00E53255" w:rsidRDefault="006C1004" w:rsidP="00CA7EB2">
            <w:pPr>
              <w:jc w:val="lef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S1: Maksa par elektroenerģiju EUR/kWh vienā laika zonā</w:t>
            </w:r>
          </w:p>
        </w:tc>
        <w:tc>
          <w:tcPr>
            <w:tcW w:w="1559" w:type="dxa"/>
            <w:tcBorders>
              <w:bottom w:val="nil"/>
            </w:tcBorders>
          </w:tcPr>
          <w:p w14:paraId="2D5A2C21" w14:textId="55AF1B7C" w:rsidR="00CA7EB2" w:rsidRPr="00E53255" w:rsidRDefault="00CA7EB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0,04010</w:t>
            </w:r>
          </w:p>
        </w:tc>
        <w:tc>
          <w:tcPr>
            <w:tcW w:w="1560" w:type="dxa"/>
            <w:tcBorders>
              <w:bottom w:val="nil"/>
            </w:tcBorders>
          </w:tcPr>
          <w:p w14:paraId="775BC3A1" w14:textId="33860A28" w:rsidR="00CA7EB2" w:rsidRPr="00E53255" w:rsidRDefault="00CA7EB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    0,0</w:t>
            </w:r>
            <w:r w:rsidR="00170A7D" w:rsidRPr="00E53255">
              <w:rPr>
                <w:rFonts w:ascii="Cambria" w:eastAsia="Times New Roman" w:hAnsi="Cambria" w:cs="Times New Roman"/>
                <w:sz w:val="18"/>
                <w:szCs w:val="18"/>
                <w:lang w:eastAsia="lv-LV"/>
              </w:rPr>
              <w:t>28</w:t>
            </w:r>
            <w:r w:rsidRPr="00E53255">
              <w:rPr>
                <w:rFonts w:ascii="Cambria" w:eastAsia="Times New Roman" w:hAnsi="Cambria" w:cs="Times New Roman"/>
                <w:sz w:val="18"/>
                <w:szCs w:val="18"/>
                <w:lang w:eastAsia="lv-LV"/>
              </w:rPr>
              <w:t>33</w:t>
            </w:r>
          </w:p>
        </w:tc>
        <w:tc>
          <w:tcPr>
            <w:tcW w:w="1972" w:type="dxa"/>
            <w:tcBorders>
              <w:bottom w:val="nil"/>
            </w:tcBorders>
          </w:tcPr>
          <w:p w14:paraId="166CE8EF" w14:textId="20BE5922" w:rsidR="00CA7EB2" w:rsidRPr="00E53255" w:rsidRDefault="00CA7EB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-29.4%</w:t>
            </w:r>
          </w:p>
        </w:tc>
      </w:tr>
      <w:tr w:rsidR="006C1004" w:rsidRPr="00E86E18" w14:paraId="38EE19EE" w14:textId="77777777" w:rsidTr="00E53255">
        <w:tc>
          <w:tcPr>
            <w:tcW w:w="3539" w:type="dxa"/>
            <w:tcBorders>
              <w:top w:val="nil"/>
              <w:bottom w:val="nil"/>
            </w:tcBorders>
          </w:tcPr>
          <w:p w14:paraId="179E0995" w14:textId="4DDA898F" w:rsidR="006C1004" w:rsidRPr="00A640CF" w:rsidRDefault="006C1004" w:rsidP="00E53255">
            <w:pPr>
              <w:ind w:left="113"/>
              <w:jc w:val="lef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S2: Maksa par elektroenerģiju EUR/kWh dienas zonā</w:t>
            </w:r>
          </w:p>
        </w:tc>
        <w:tc>
          <w:tcPr>
            <w:tcW w:w="1559" w:type="dxa"/>
            <w:tcBorders>
              <w:top w:val="nil"/>
              <w:bottom w:val="nil"/>
            </w:tcBorders>
          </w:tcPr>
          <w:p w14:paraId="24E24F4E" w14:textId="22C1233F" w:rsidR="006C1004" w:rsidRPr="00A640CF" w:rsidRDefault="006C1004" w:rsidP="006C1004">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0,0</w:t>
            </w:r>
            <w:r w:rsidR="00110076" w:rsidRPr="00A640CF">
              <w:rPr>
                <w:rFonts w:ascii="Cambria" w:eastAsia="Times New Roman" w:hAnsi="Cambria" w:cs="Times New Roman"/>
                <w:i/>
                <w:iCs/>
                <w:sz w:val="14"/>
                <w:szCs w:val="14"/>
                <w:lang w:eastAsia="lv-LV"/>
              </w:rPr>
              <w:t>4007</w:t>
            </w:r>
          </w:p>
        </w:tc>
        <w:tc>
          <w:tcPr>
            <w:tcW w:w="1560" w:type="dxa"/>
            <w:tcBorders>
              <w:top w:val="nil"/>
              <w:bottom w:val="nil"/>
            </w:tcBorders>
          </w:tcPr>
          <w:p w14:paraId="19092354" w14:textId="77777777" w:rsidR="006C1004" w:rsidRPr="00A640CF" w:rsidRDefault="006C1004" w:rsidP="006C1004">
            <w:pPr>
              <w:jc w:val="right"/>
              <w:textAlignment w:val="baseline"/>
              <w:rPr>
                <w:rFonts w:ascii="Cambria" w:eastAsia="Times New Roman" w:hAnsi="Cambria" w:cs="Times New Roman"/>
                <w:sz w:val="14"/>
                <w:szCs w:val="14"/>
                <w:lang w:eastAsia="lv-LV"/>
              </w:rPr>
            </w:pPr>
          </w:p>
        </w:tc>
        <w:tc>
          <w:tcPr>
            <w:tcW w:w="1972" w:type="dxa"/>
            <w:tcBorders>
              <w:top w:val="nil"/>
              <w:bottom w:val="nil"/>
            </w:tcBorders>
          </w:tcPr>
          <w:p w14:paraId="0E9D05A4" w14:textId="472308AD" w:rsidR="006C1004" w:rsidRPr="00A640CF" w:rsidRDefault="006C1004" w:rsidP="006C1004">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w:t>
            </w:r>
            <w:r w:rsidR="00A640CF" w:rsidRPr="00A640CF">
              <w:rPr>
                <w:rFonts w:ascii="Cambria" w:eastAsia="Times New Roman" w:hAnsi="Cambria" w:cs="Times New Roman"/>
                <w:i/>
                <w:iCs/>
                <w:sz w:val="14"/>
                <w:szCs w:val="14"/>
                <w:lang w:eastAsia="lv-LV"/>
              </w:rPr>
              <w:t>2</w:t>
            </w:r>
            <w:r w:rsidR="000C284A" w:rsidRPr="00A640CF">
              <w:rPr>
                <w:rFonts w:ascii="Cambria" w:eastAsia="Times New Roman" w:hAnsi="Cambria" w:cs="Times New Roman"/>
                <w:i/>
                <w:iCs/>
                <w:sz w:val="14"/>
                <w:szCs w:val="14"/>
                <w:lang w:eastAsia="lv-LV"/>
              </w:rPr>
              <w:t>9,</w:t>
            </w:r>
            <w:r w:rsidR="00A640CF" w:rsidRPr="00A640CF">
              <w:rPr>
                <w:rFonts w:ascii="Cambria" w:eastAsia="Times New Roman" w:hAnsi="Cambria" w:cs="Times New Roman"/>
                <w:i/>
                <w:iCs/>
                <w:sz w:val="14"/>
                <w:szCs w:val="14"/>
                <w:lang w:eastAsia="lv-LV"/>
              </w:rPr>
              <w:t>3</w:t>
            </w:r>
            <w:r w:rsidRPr="00A640CF">
              <w:rPr>
                <w:rFonts w:ascii="Cambria" w:eastAsia="Times New Roman" w:hAnsi="Cambria" w:cs="Times New Roman"/>
                <w:i/>
                <w:iCs/>
                <w:sz w:val="14"/>
                <w:szCs w:val="14"/>
                <w:lang w:eastAsia="lv-LV"/>
              </w:rPr>
              <w:t>%</w:t>
            </w:r>
          </w:p>
        </w:tc>
      </w:tr>
      <w:tr w:rsidR="006C1004" w:rsidRPr="00E86E18" w14:paraId="5E9DC664" w14:textId="77777777" w:rsidTr="00E53255">
        <w:tc>
          <w:tcPr>
            <w:tcW w:w="3539" w:type="dxa"/>
            <w:tcBorders>
              <w:top w:val="nil"/>
              <w:bottom w:val="nil"/>
            </w:tcBorders>
          </w:tcPr>
          <w:p w14:paraId="6AE70902" w14:textId="433875DD" w:rsidR="006C1004" w:rsidRPr="00A640CF" w:rsidRDefault="006C1004" w:rsidP="00E53255">
            <w:pPr>
              <w:ind w:left="113"/>
              <w:jc w:val="lef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S2: Maksa par elektroenerģiju EUR/kWh nakts zonā un brīvdienās</w:t>
            </w:r>
          </w:p>
        </w:tc>
        <w:tc>
          <w:tcPr>
            <w:tcW w:w="1559" w:type="dxa"/>
            <w:tcBorders>
              <w:top w:val="nil"/>
              <w:bottom w:val="nil"/>
            </w:tcBorders>
          </w:tcPr>
          <w:p w14:paraId="3C5190F5" w14:textId="2DFE097F" w:rsidR="006C1004" w:rsidRPr="00A640CF" w:rsidRDefault="006C1004" w:rsidP="006C1004">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0,0</w:t>
            </w:r>
            <w:r w:rsidR="00110076" w:rsidRPr="00A640CF">
              <w:rPr>
                <w:rFonts w:ascii="Cambria" w:eastAsia="Times New Roman" w:hAnsi="Cambria" w:cs="Times New Roman"/>
                <w:i/>
                <w:iCs/>
                <w:sz w:val="14"/>
                <w:szCs w:val="14"/>
                <w:lang w:eastAsia="lv-LV"/>
              </w:rPr>
              <w:t>3717</w:t>
            </w:r>
          </w:p>
        </w:tc>
        <w:tc>
          <w:tcPr>
            <w:tcW w:w="1560" w:type="dxa"/>
            <w:tcBorders>
              <w:top w:val="nil"/>
              <w:bottom w:val="nil"/>
            </w:tcBorders>
          </w:tcPr>
          <w:p w14:paraId="2032CAF7" w14:textId="77777777" w:rsidR="006C1004" w:rsidRPr="00A640CF" w:rsidRDefault="006C1004" w:rsidP="006C1004">
            <w:pPr>
              <w:jc w:val="right"/>
              <w:textAlignment w:val="baseline"/>
              <w:rPr>
                <w:rFonts w:ascii="Cambria" w:eastAsia="Times New Roman" w:hAnsi="Cambria" w:cs="Times New Roman"/>
                <w:sz w:val="14"/>
                <w:szCs w:val="14"/>
                <w:lang w:eastAsia="lv-LV"/>
              </w:rPr>
            </w:pPr>
          </w:p>
        </w:tc>
        <w:tc>
          <w:tcPr>
            <w:tcW w:w="1972" w:type="dxa"/>
            <w:tcBorders>
              <w:top w:val="nil"/>
              <w:bottom w:val="nil"/>
            </w:tcBorders>
          </w:tcPr>
          <w:p w14:paraId="57A135E7" w14:textId="0422B943" w:rsidR="006C1004" w:rsidRPr="00A640CF" w:rsidRDefault="006C1004" w:rsidP="006C1004">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w:t>
            </w:r>
            <w:r w:rsidR="000C284A" w:rsidRPr="00A640CF">
              <w:rPr>
                <w:rFonts w:ascii="Cambria" w:eastAsia="Times New Roman" w:hAnsi="Cambria" w:cs="Times New Roman"/>
                <w:i/>
                <w:iCs/>
                <w:sz w:val="14"/>
                <w:szCs w:val="14"/>
                <w:lang w:eastAsia="lv-LV"/>
              </w:rPr>
              <w:t>23,7</w:t>
            </w:r>
            <w:r w:rsidRPr="00A640CF">
              <w:rPr>
                <w:rFonts w:ascii="Cambria" w:eastAsia="Times New Roman" w:hAnsi="Cambria" w:cs="Times New Roman"/>
                <w:i/>
                <w:iCs/>
                <w:sz w:val="14"/>
                <w:szCs w:val="14"/>
                <w:lang w:eastAsia="lv-LV"/>
              </w:rPr>
              <w:t>%</w:t>
            </w:r>
          </w:p>
        </w:tc>
      </w:tr>
      <w:tr w:rsidR="006C1004" w:rsidRPr="00E86E18" w14:paraId="6CC5A3B4" w14:textId="77777777" w:rsidTr="007F05CE">
        <w:tc>
          <w:tcPr>
            <w:tcW w:w="3539" w:type="dxa"/>
            <w:tcBorders>
              <w:top w:val="nil"/>
              <w:bottom w:val="single" w:sz="4" w:space="0" w:color="auto"/>
            </w:tcBorders>
          </w:tcPr>
          <w:p w14:paraId="0630A812" w14:textId="30B4FABA" w:rsidR="006C1004" w:rsidRPr="00A640CF" w:rsidRDefault="006C1004" w:rsidP="00E53255">
            <w:pPr>
              <w:ind w:left="113"/>
              <w:jc w:val="lef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S2: Maksa par elektroenerģiju EUR/kWh maksimumstundu zonā</w:t>
            </w:r>
          </w:p>
        </w:tc>
        <w:tc>
          <w:tcPr>
            <w:tcW w:w="1559" w:type="dxa"/>
            <w:tcBorders>
              <w:top w:val="nil"/>
              <w:bottom w:val="single" w:sz="4" w:space="0" w:color="auto"/>
            </w:tcBorders>
          </w:tcPr>
          <w:p w14:paraId="13AC6EC4" w14:textId="576EC351" w:rsidR="006C1004" w:rsidRPr="00A640CF" w:rsidRDefault="00110076" w:rsidP="006C1004">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0,04702</w:t>
            </w:r>
          </w:p>
        </w:tc>
        <w:tc>
          <w:tcPr>
            <w:tcW w:w="1560" w:type="dxa"/>
            <w:tcBorders>
              <w:top w:val="nil"/>
              <w:bottom w:val="single" w:sz="4" w:space="0" w:color="auto"/>
            </w:tcBorders>
          </w:tcPr>
          <w:p w14:paraId="59221FD5" w14:textId="77777777" w:rsidR="006C1004" w:rsidRPr="00A640CF" w:rsidRDefault="006C1004" w:rsidP="006C1004">
            <w:pPr>
              <w:jc w:val="right"/>
              <w:textAlignment w:val="baseline"/>
              <w:rPr>
                <w:rFonts w:ascii="Cambria" w:eastAsia="Times New Roman" w:hAnsi="Cambria" w:cs="Times New Roman"/>
                <w:sz w:val="14"/>
                <w:szCs w:val="14"/>
                <w:lang w:eastAsia="lv-LV"/>
              </w:rPr>
            </w:pPr>
          </w:p>
        </w:tc>
        <w:tc>
          <w:tcPr>
            <w:tcW w:w="1972" w:type="dxa"/>
            <w:tcBorders>
              <w:top w:val="nil"/>
              <w:bottom w:val="single" w:sz="4" w:space="0" w:color="auto"/>
            </w:tcBorders>
          </w:tcPr>
          <w:p w14:paraId="0D2C04ED" w14:textId="046000AC" w:rsidR="006C1004" w:rsidRPr="00A640CF" w:rsidRDefault="006C1004" w:rsidP="006C1004">
            <w:pPr>
              <w:jc w:val="right"/>
              <w:textAlignment w:val="baseline"/>
              <w:rPr>
                <w:rFonts w:ascii="Cambria" w:eastAsia="Times New Roman" w:hAnsi="Cambria" w:cs="Times New Roman"/>
                <w:sz w:val="14"/>
                <w:szCs w:val="14"/>
                <w:lang w:eastAsia="lv-LV"/>
              </w:rPr>
            </w:pPr>
            <w:r w:rsidRPr="00A640CF">
              <w:rPr>
                <w:rFonts w:ascii="Cambria" w:eastAsia="Times New Roman" w:hAnsi="Cambria" w:cs="Times New Roman"/>
                <w:i/>
                <w:iCs/>
                <w:sz w:val="14"/>
                <w:szCs w:val="14"/>
                <w:lang w:eastAsia="lv-LV"/>
              </w:rPr>
              <w:t>-</w:t>
            </w:r>
            <w:r w:rsidR="000C284A" w:rsidRPr="00A640CF">
              <w:rPr>
                <w:rFonts w:ascii="Cambria" w:eastAsia="Times New Roman" w:hAnsi="Cambria" w:cs="Times New Roman"/>
                <w:i/>
                <w:iCs/>
                <w:sz w:val="14"/>
                <w:szCs w:val="14"/>
                <w:lang w:eastAsia="lv-LV"/>
              </w:rPr>
              <w:t>39</w:t>
            </w:r>
            <w:r w:rsidRPr="00A640CF">
              <w:rPr>
                <w:rFonts w:ascii="Cambria" w:eastAsia="Times New Roman" w:hAnsi="Cambria" w:cs="Times New Roman"/>
                <w:i/>
                <w:iCs/>
                <w:sz w:val="14"/>
                <w:szCs w:val="14"/>
                <w:lang w:eastAsia="lv-LV"/>
              </w:rPr>
              <w:t>,</w:t>
            </w:r>
            <w:r w:rsidR="000C284A" w:rsidRPr="00A640CF">
              <w:rPr>
                <w:rFonts w:ascii="Cambria" w:eastAsia="Times New Roman" w:hAnsi="Cambria" w:cs="Times New Roman"/>
                <w:i/>
                <w:iCs/>
                <w:sz w:val="14"/>
                <w:szCs w:val="14"/>
                <w:lang w:eastAsia="lv-LV"/>
              </w:rPr>
              <w:t>7</w:t>
            </w:r>
            <w:r w:rsidRPr="00A640CF">
              <w:rPr>
                <w:rFonts w:ascii="Cambria" w:eastAsia="Times New Roman" w:hAnsi="Cambria" w:cs="Times New Roman"/>
                <w:i/>
                <w:iCs/>
                <w:sz w:val="14"/>
                <w:szCs w:val="14"/>
                <w:lang w:eastAsia="lv-LV"/>
              </w:rPr>
              <w:t>%</w:t>
            </w:r>
          </w:p>
        </w:tc>
      </w:tr>
      <w:tr w:rsidR="00CA7EB2" w:rsidRPr="00E86E18" w14:paraId="4B952662" w14:textId="77777777" w:rsidTr="007F05CE">
        <w:tc>
          <w:tcPr>
            <w:tcW w:w="3539" w:type="dxa"/>
            <w:tcBorders>
              <w:bottom w:val="nil"/>
            </w:tcBorders>
          </w:tcPr>
          <w:p w14:paraId="01195053" w14:textId="25F067C2" w:rsidR="00CA7EB2" w:rsidRPr="00E53255" w:rsidRDefault="00CA7EB2" w:rsidP="00CA7EB2">
            <w:pPr>
              <w:jc w:val="lef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 xml:space="preserve"> S1: Maksa par </w:t>
            </w:r>
            <w:r w:rsidR="007F05CE">
              <w:rPr>
                <w:rFonts w:ascii="Cambria" w:eastAsia="Times New Roman" w:hAnsi="Cambria" w:cs="Times New Roman"/>
                <w:sz w:val="18"/>
                <w:szCs w:val="18"/>
                <w:lang w:eastAsia="lv-LV"/>
              </w:rPr>
              <w:t xml:space="preserve">atļauto slodzi </w:t>
            </w:r>
            <w:r w:rsidRPr="00E53255">
              <w:rPr>
                <w:rFonts w:ascii="Cambria" w:eastAsia="Times New Roman" w:hAnsi="Cambria" w:cs="Times New Roman"/>
                <w:sz w:val="18"/>
                <w:szCs w:val="18"/>
                <w:lang w:eastAsia="lv-LV"/>
              </w:rPr>
              <w:t>EUR/kW gadā</w:t>
            </w:r>
          </w:p>
        </w:tc>
        <w:tc>
          <w:tcPr>
            <w:tcW w:w="1559" w:type="dxa"/>
            <w:tcBorders>
              <w:bottom w:val="nil"/>
            </w:tcBorders>
          </w:tcPr>
          <w:p w14:paraId="432B3B1F" w14:textId="24240034" w:rsidR="00CA7EB2" w:rsidRPr="00E53255" w:rsidRDefault="00CA7EB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28,05</w:t>
            </w:r>
          </w:p>
        </w:tc>
        <w:tc>
          <w:tcPr>
            <w:tcW w:w="1560" w:type="dxa"/>
            <w:tcBorders>
              <w:bottom w:val="nil"/>
            </w:tcBorders>
          </w:tcPr>
          <w:p w14:paraId="6C87EC3A" w14:textId="59FE4C25" w:rsidR="00CA7EB2" w:rsidRPr="00E53255" w:rsidRDefault="00CA7EB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42,00</w:t>
            </w:r>
          </w:p>
        </w:tc>
        <w:tc>
          <w:tcPr>
            <w:tcW w:w="1972" w:type="dxa"/>
            <w:tcBorders>
              <w:bottom w:val="nil"/>
            </w:tcBorders>
          </w:tcPr>
          <w:p w14:paraId="357E5BD1" w14:textId="5ECC4032" w:rsidR="00CA7EB2" w:rsidRPr="00E53255" w:rsidRDefault="00CA7EB2" w:rsidP="00CA7EB2">
            <w:pPr>
              <w:jc w:val="right"/>
              <w:textAlignment w:val="baseline"/>
              <w:rPr>
                <w:rFonts w:ascii="Cambria" w:eastAsia="Times New Roman" w:hAnsi="Cambria" w:cs="Times New Roman"/>
                <w:sz w:val="18"/>
                <w:szCs w:val="18"/>
                <w:lang w:eastAsia="lv-LV"/>
              </w:rPr>
            </w:pPr>
            <w:r w:rsidRPr="00E53255">
              <w:rPr>
                <w:rFonts w:ascii="Cambria" w:eastAsia="Times New Roman" w:hAnsi="Cambria" w:cs="Times New Roman"/>
                <w:sz w:val="18"/>
                <w:szCs w:val="18"/>
                <w:lang w:eastAsia="lv-LV"/>
              </w:rPr>
              <w:t>+49,7%</w:t>
            </w:r>
          </w:p>
        </w:tc>
      </w:tr>
      <w:tr w:rsidR="007F05CE" w:rsidRPr="00E86E18" w14:paraId="495AB5A9" w14:textId="77777777" w:rsidTr="007F05CE">
        <w:tc>
          <w:tcPr>
            <w:tcW w:w="3539" w:type="dxa"/>
            <w:tcBorders>
              <w:top w:val="nil"/>
              <w:bottom w:val="single" w:sz="4" w:space="0" w:color="auto"/>
            </w:tcBorders>
          </w:tcPr>
          <w:p w14:paraId="06F08302" w14:textId="3D5CA345" w:rsidR="007F05CE" w:rsidRPr="007F05CE" w:rsidRDefault="007F05CE" w:rsidP="007F05CE">
            <w:pPr>
              <w:ind w:left="113"/>
              <w:jc w:val="left"/>
              <w:textAlignment w:val="baseline"/>
              <w:rPr>
                <w:rFonts w:ascii="Cambria" w:eastAsia="Times New Roman" w:hAnsi="Cambria" w:cs="Times New Roman"/>
                <w:sz w:val="14"/>
                <w:szCs w:val="14"/>
                <w:lang w:eastAsia="lv-LV"/>
              </w:rPr>
            </w:pPr>
            <w:r w:rsidRPr="007F05CE">
              <w:rPr>
                <w:rFonts w:ascii="Cambria" w:eastAsia="Times New Roman" w:hAnsi="Cambria" w:cs="Times New Roman"/>
                <w:i/>
                <w:iCs/>
                <w:sz w:val="14"/>
                <w:szCs w:val="14"/>
                <w:lang w:eastAsia="lv-LV"/>
              </w:rPr>
              <w:t>S2: Maksa par atļauto slodzi EUR/kW gadā</w:t>
            </w:r>
          </w:p>
        </w:tc>
        <w:tc>
          <w:tcPr>
            <w:tcW w:w="1559" w:type="dxa"/>
            <w:tcBorders>
              <w:top w:val="nil"/>
              <w:bottom w:val="single" w:sz="4" w:space="0" w:color="auto"/>
            </w:tcBorders>
          </w:tcPr>
          <w:p w14:paraId="53DE8D9C" w14:textId="32778208" w:rsidR="007F05CE" w:rsidRPr="007F05CE" w:rsidRDefault="007F05CE" w:rsidP="007F05CE">
            <w:pPr>
              <w:jc w:val="right"/>
              <w:textAlignment w:val="baseline"/>
              <w:rPr>
                <w:rFonts w:ascii="Cambria" w:eastAsia="Times New Roman" w:hAnsi="Cambria" w:cs="Times New Roman"/>
                <w:sz w:val="14"/>
                <w:szCs w:val="14"/>
                <w:lang w:eastAsia="lv-LV"/>
              </w:rPr>
            </w:pPr>
            <w:r w:rsidRPr="007F05CE">
              <w:rPr>
                <w:rFonts w:ascii="Cambria" w:eastAsia="Times New Roman" w:hAnsi="Cambria" w:cs="Times New Roman"/>
                <w:i/>
                <w:iCs/>
                <w:sz w:val="14"/>
                <w:szCs w:val="14"/>
                <w:lang w:eastAsia="lv-LV"/>
              </w:rPr>
              <w:t>28,05</w:t>
            </w:r>
          </w:p>
        </w:tc>
        <w:tc>
          <w:tcPr>
            <w:tcW w:w="1560" w:type="dxa"/>
            <w:tcBorders>
              <w:top w:val="nil"/>
              <w:bottom w:val="single" w:sz="4" w:space="0" w:color="auto"/>
            </w:tcBorders>
          </w:tcPr>
          <w:p w14:paraId="1BEB881E" w14:textId="77777777" w:rsidR="007F05CE" w:rsidRPr="007F05CE" w:rsidRDefault="007F05CE" w:rsidP="007F05CE">
            <w:pPr>
              <w:jc w:val="right"/>
              <w:textAlignment w:val="baseline"/>
              <w:rPr>
                <w:rFonts w:ascii="Cambria" w:eastAsia="Times New Roman" w:hAnsi="Cambria" w:cs="Times New Roman"/>
                <w:sz w:val="14"/>
                <w:szCs w:val="14"/>
                <w:lang w:eastAsia="lv-LV"/>
              </w:rPr>
            </w:pPr>
          </w:p>
        </w:tc>
        <w:tc>
          <w:tcPr>
            <w:tcW w:w="1972" w:type="dxa"/>
            <w:tcBorders>
              <w:top w:val="nil"/>
              <w:bottom w:val="single" w:sz="4" w:space="0" w:color="auto"/>
            </w:tcBorders>
          </w:tcPr>
          <w:p w14:paraId="35D1B6B3" w14:textId="1D757029" w:rsidR="007F05CE" w:rsidRPr="007F05CE" w:rsidRDefault="007F05CE" w:rsidP="007F05CE">
            <w:pPr>
              <w:jc w:val="right"/>
              <w:textAlignment w:val="baseline"/>
              <w:rPr>
                <w:rFonts w:ascii="Cambria" w:eastAsia="Times New Roman" w:hAnsi="Cambria" w:cs="Times New Roman"/>
                <w:sz w:val="14"/>
                <w:szCs w:val="14"/>
                <w:lang w:eastAsia="lv-LV"/>
              </w:rPr>
            </w:pPr>
            <w:r w:rsidRPr="007F05CE">
              <w:rPr>
                <w:rFonts w:ascii="Cambria" w:eastAsia="Times New Roman" w:hAnsi="Cambria" w:cs="Times New Roman"/>
                <w:i/>
                <w:iCs/>
                <w:sz w:val="14"/>
                <w:szCs w:val="14"/>
                <w:lang w:eastAsia="lv-LV"/>
              </w:rPr>
              <w:t>+49,7%</w:t>
            </w:r>
          </w:p>
        </w:tc>
      </w:tr>
      <w:tr w:rsidR="00543BA5" w:rsidRPr="00E86E18" w14:paraId="616FE7BD" w14:textId="77777777" w:rsidTr="00D66D93">
        <w:tc>
          <w:tcPr>
            <w:tcW w:w="3539" w:type="dxa"/>
            <w:tcBorders>
              <w:top w:val="nil"/>
              <w:bottom w:val="single" w:sz="4" w:space="0" w:color="auto"/>
            </w:tcBorders>
            <w:vAlign w:val="center"/>
          </w:tcPr>
          <w:p w14:paraId="6FE062DC" w14:textId="2E83102C" w:rsidR="00543BA5" w:rsidRPr="007F05CE" w:rsidRDefault="00511ACA" w:rsidP="00B45D64">
            <w:pPr>
              <w:jc w:val="left"/>
              <w:textAlignment w:val="baseline"/>
              <w:rPr>
                <w:rFonts w:ascii="Cambria" w:eastAsia="Times New Roman" w:hAnsi="Cambria" w:cs="Times New Roman"/>
                <w:i/>
                <w:iCs/>
                <w:sz w:val="14"/>
                <w:szCs w:val="14"/>
                <w:lang w:eastAsia="lv-LV"/>
              </w:rPr>
            </w:pPr>
            <w:r>
              <w:rPr>
                <w:rFonts w:ascii="Cambria" w:eastAsia="Times New Roman" w:hAnsi="Cambria" w:cs="Times New Roman"/>
                <w:b/>
                <w:bCs/>
                <w:sz w:val="18"/>
                <w:szCs w:val="18"/>
                <w:lang w:eastAsia="lv-LV"/>
              </w:rPr>
              <w:t>Elektroenerģijas ražotāju tarifs</w:t>
            </w:r>
          </w:p>
        </w:tc>
        <w:tc>
          <w:tcPr>
            <w:tcW w:w="1559" w:type="dxa"/>
            <w:tcBorders>
              <w:top w:val="nil"/>
              <w:bottom w:val="single" w:sz="4" w:space="0" w:color="auto"/>
            </w:tcBorders>
            <w:vAlign w:val="center"/>
          </w:tcPr>
          <w:p w14:paraId="0E3D9726" w14:textId="1DD8F968" w:rsidR="00543BA5" w:rsidRPr="007F05CE" w:rsidRDefault="00543BA5" w:rsidP="00BF7AA2">
            <w:pPr>
              <w:jc w:val="center"/>
              <w:textAlignment w:val="baseline"/>
              <w:rPr>
                <w:rFonts w:ascii="Cambria" w:eastAsia="Times New Roman" w:hAnsi="Cambria" w:cs="Times New Roman"/>
                <w:i/>
                <w:iCs/>
                <w:sz w:val="14"/>
                <w:szCs w:val="14"/>
                <w:lang w:eastAsia="lv-LV"/>
              </w:rPr>
            </w:pPr>
            <w:r w:rsidRPr="00E53255">
              <w:rPr>
                <w:rFonts w:ascii="Cambria" w:eastAsia="Times New Roman" w:hAnsi="Cambria" w:cs="Times New Roman"/>
                <w:b/>
                <w:bCs/>
                <w:sz w:val="18"/>
                <w:szCs w:val="18"/>
                <w:lang w:eastAsia="lv-LV"/>
              </w:rPr>
              <w:t>Spēkā esošais tarifs (bez PVN)</w:t>
            </w:r>
          </w:p>
        </w:tc>
        <w:tc>
          <w:tcPr>
            <w:tcW w:w="1560" w:type="dxa"/>
            <w:tcBorders>
              <w:top w:val="nil"/>
              <w:bottom w:val="single" w:sz="4" w:space="0" w:color="auto"/>
            </w:tcBorders>
            <w:vAlign w:val="center"/>
          </w:tcPr>
          <w:p w14:paraId="6BDC3EC8" w14:textId="27E4C1EE" w:rsidR="00543BA5" w:rsidRPr="007F05CE" w:rsidRDefault="00543BA5" w:rsidP="00BF7AA2">
            <w:pPr>
              <w:jc w:val="center"/>
              <w:textAlignment w:val="baseline"/>
              <w:rPr>
                <w:rFonts w:ascii="Cambria" w:eastAsia="Times New Roman" w:hAnsi="Cambria" w:cs="Times New Roman"/>
                <w:sz w:val="14"/>
                <w:szCs w:val="14"/>
                <w:lang w:eastAsia="lv-LV"/>
              </w:rPr>
            </w:pPr>
            <w:r w:rsidRPr="00E53255">
              <w:rPr>
                <w:rFonts w:ascii="Cambria" w:eastAsia="Times New Roman" w:hAnsi="Cambria" w:cs="Times New Roman"/>
                <w:b/>
                <w:bCs/>
                <w:sz w:val="18"/>
                <w:szCs w:val="18"/>
                <w:lang w:eastAsia="lv-LV"/>
              </w:rPr>
              <w:t>Piedāvātais tarifs </w:t>
            </w:r>
            <w:r w:rsidRPr="00E53255">
              <w:rPr>
                <w:rFonts w:ascii="Cambria" w:eastAsia="Times New Roman" w:hAnsi="Cambria" w:cs="Times New Roman"/>
                <w:b/>
                <w:bCs/>
                <w:sz w:val="18"/>
                <w:szCs w:val="18"/>
                <w:lang w:eastAsia="lv-LV"/>
              </w:rPr>
              <w:br/>
              <w:t>(bez PVN)</w:t>
            </w:r>
          </w:p>
        </w:tc>
        <w:tc>
          <w:tcPr>
            <w:tcW w:w="1972" w:type="dxa"/>
            <w:tcBorders>
              <w:top w:val="nil"/>
              <w:bottom w:val="single" w:sz="4" w:space="0" w:color="auto"/>
            </w:tcBorders>
            <w:vAlign w:val="center"/>
          </w:tcPr>
          <w:p w14:paraId="7B615E69" w14:textId="5239E7B4" w:rsidR="00543BA5" w:rsidRPr="007F05CE" w:rsidRDefault="00543BA5" w:rsidP="00BF7AA2">
            <w:pPr>
              <w:jc w:val="center"/>
              <w:textAlignment w:val="baseline"/>
              <w:rPr>
                <w:rFonts w:ascii="Cambria" w:eastAsia="Times New Roman" w:hAnsi="Cambria" w:cs="Times New Roman"/>
                <w:i/>
                <w:iCs/>
                <w:sz w:val="14"/>
                <w:szCs w:val="14"/>
                <w:lang w:eastAsia="lv-LV"/>
              </w:rPr>
            </w:pPr>
            <w:r w:rsidRPr="00E53255">
              <w:rPr>
                <w:rFonts w:ascii="Cambria" w:eastAsia="Times New Roman" w:hAnsi="Cambria" w:cs="Times New Roman"/>
                <w:b/>
                <w:bCs/>
                <w:sz w:val="18"/>
                <w:szCs w:val="18"/>
                <w:lang w:eastAsia="lv-LV"/>
              </w:rPr>
              <w:t>Tarifa </w:t>
            </w:r>
            <w:r w:rsidRPr="00E53255">
              <w:rPr>
                <w:rFonts w:ascii="Cambria" w:eastAsia="Times New Roman" w:hAnsi="Cambria" w:cs="Times New Roman"/>
                <w:b/>
                <w:bCs/>
                <w:i/>
                <w:iCs/>
                <w:sz w:val="18"/>
                <w:szCs w:val="18"/>
                <w:lang w:eastAsia="lv-LV"/>
              </w:rPr>
              <w:t>palielinājums/ samazinājums</w:t>
            </w:r>
            <w:r w:rsidRPr="00E53255">
              <w:rPr>
                <w:rFonts w:ascii="Cambria" w:eastAsia="Times New Roman" w:hAnsi="Cambria" w:cs="Times New Roman"/>
                <w:b/>
                <w:bCs/>
                <w:sz w:val="18"/>
                <w:szCs w:val="18"/>
                <w:lang w:eastAsia="lv-LV"/>
              </w:rPr>
              <w:t xml:space="preserve"> (%)</w:t>
            </w:r>
          </w:p>
        </w:tc>
      </w:tr>
      <w:tr w:rsidR="00543BA5" w:rsidRPr="00E86E18" w14:paraId="3B2CF414" w14:textId="77777777" w:rsidTr="00D66D93">
        <w:tc>
          <w:tcPr>
            <w:tcW w:w="3539" w:type="dxa"/>
            <w:tcBorders>
              <w:top w:val="single" w:sz="4" w:space="0" w:color="auto"/>
              <w:bottom w:val="nil"/>
            </w:tcBorders>
          </w:tcPr>
          <w:p w14:paraId="0CD95D0A" w14:textId="285BB09D" w:rsidR="00543BA5" w:rsidRPr="00543BA5" w:rsidRDefault="00B45D64" w:rsidP="00543BA5">
            <w:pPr>
              <w:jc w:val="left"/>
              <w:textAlignment w:val="baseline"/>
              <w:rPr>
                <w:rFonts w:ascii="Cambria" w:eastAsia="Times New Roman" w:hAnsi="Cambria" w:cs="Times New Roman"/>
                <w:sz w:val="18"/>
                <w:szCs w:val="18"/>
                <w:lang w:eastAsia="lv-LV"/>
              </w:rPr>
            </w:pPr>
            <w:r>
              <w:rPr>
                <w:rFonts w:ascii="Cambria" w:eastAsia="Times New Roman" w:hAnsi="Cambria" w:cs="Times New Roman"/>
                <w:sz w:val="18"/>
                <w:szCs w:val="18"/>
                <w:lang w:eastAsia="lv-LV"/>
              </w:rPr>
              <w:lastRenderedPageBreak/>
              <w:t>Maks</w:t>
            </w:r>
            <w:r w:rsidR="00203B03">
              <w:rPr>
                <w:rFonts w:ascii="Cambria" w:eastAsia="Times New Roman" w:hAnsi="Cambria" w:cs="Times New Roman"/>
                <w:sz w:val="18"/>
                <w:szCs w:val="18"/>
                <w:lang w:eastAsia="lv-LV"/>
              </w:rPr>
              <w:t>a</w:t>
            </w:r>
            <w:r>
              <w:rPr>
                <w:rFonts w:ascii="Cambria" w:eastAsia="Times New Roman" w:hAnsi="Cambria" w:cs="Times New Roman"/>
                <w:sz w:val="18"/>
                <w:szCs w:val="18"/>
                <w:lang w:eastAsia="lv-LV"/>
              </w:rPr>
              <w:t xml:space="preserve"> par </w:t>
            </w:r>
            <w:r w:rsidR="00543BA5" w:rsidRPr="00543BA5">
              <w:rPr>
                <w:rFonts w:ascii="Cambria" w:eastAsia="Times New Roman" w:hAnsi="Cambria" w:cs="Times New Roman"/>
                <w:sz w:val="18"/>
                <w:szCs w:val="18"/>
                <w:lang w:eastAsia="lv-LV"/>
              </w:rPr>
              <w:t>raž</w:t>
            </w:r>
            <w:r>
              <w:rPr>
                <w:rFonts w:ascii="Cambria" w:eastAsia="Times New Roman" w:hAnsi="Cambria" w:cs="Times New Roman"/>
                <w:sz w:val="18"/>
                <w:szCs w:val="18"/>
                <w:lang w:eastAsia="lv-LV"/>
              </w:rPr>
              <w:t>otāja pieslēgumu</w:t>
            </w:r>
            <w:r w:rsidR="00543BA5" w:rsidRPr="00543BA5">
              <w:rPr>
                <w:rFonts w:ascii="Cambria" w:eastAsia="Times New Roman" w:hAnsi="Cambria" w:cs="Times New Roman"/>
                <w:sz w:val="18"/>
                <w:szCs w:val="18"/>
                <w:lang w:eastAsia="lv-LV"/>
              </w:rPr>
              <w:t xml:space="preserve"> EUR/kW gadā</w:t>
            </w:r>
          </w:p>
        </w:tc>
        <w:tc>
          <w:tcPr>
            <w:tcW w:w="1559" w:type="dxa"/>
            <w:tcBorders>
              <w:top w:val="single" w:sz="4" w:space="0" w:color="auto"/>
              <w:bottom w:val="nil"/>
            </w:tcBorders>
          </w:tcPr>
          <w:p w14:paraId="09D30661" w14:textId="4AEEC6EE" w:rsidR="00543BA5" w:rsidRPr="00543BA5" w:rsidRDefault="00543BA5" w:rsidP="00543BA5">
            <w:pPr>
              <w:jc w:val="right"/>
              <w:textAlignment w:val="baseline"/>
              <w:rPr>
                <w:rFonts w:ascii="Cambria" w:eastAsia="Times New Roman" w:hAnsi="Cambria" w:cs="Times New Roman"/>
                <w:sz w:val="18"/>
                <w:szCs w:val="18"/>
                <w:lang w:eastAsia="lv-LV"/>
              </w:rPr>
            </w:pPr>
          </w:p>
        </w:tc>
        <w:tc>
          <w:tcPr>
            <w:tcW w:w="1560" w:type="dxa"/>
            <w:tcBorders>
              <w:top w:val="single" w:sz="4" w:space="0" w:color="auto"/>
              <w:bottom w:val="nil"/>
            </w:tcBorders>
          </w:tcPr>
          <w:p w14:paraId="7FA85E1F" w14:textId="358BB014" w:rsidR="00543BA5" w:rsidRPr="00543BA5" w:rsidRDefault="00543BA5" w:rsidP="00543BA5">
            <w:pPr>
              <w:jc w:val="right"/>
              <w:textAlignment w:val="baseline"/>
              <w:rPr>
                <w:rFonts w:ascii="Cambria" w:eastAsia="Times New Roman" w:hAnsi="Cambria" w:cs="Times New Roman"/>
                <w:sz w:val="18"/>
                <w:szCs w:val="18"/>
                <w:lang w:eastAsia="lv-LV"/>
              </w:rPr>
            </w:pPr>
            <w:r w:rsidRPr="00543BA5">
              <w:rPr>
                <w:rFonts w:ascii="Cambria" w:eastAsia="Times New Roman" w:hAnsi="Cambria" w:cs="Times New Roman"/>
                <w:sz w:val="18"/>
                <w:szCs w:val="18"/>
                <w:lang w:eastAsia="lv-LV"/>
              </w:rPr>
              <w:t>1,50</w:t>
            </w:r>
          </w:p>
        </w:tc>
        <w:tc>
          <w:tcPr>
            <w:tcW w:w="1972" w:type="dxa"/>
            <w:tcBorders>
              <w:top w:val="single" w:sz="4" w:space="0" w:color="auto"/>
              <w:bottom w:val="nil"/>
            </w:tcBorders>
          </w:tcPr>
          <w:p w14:paraId="792FD5E0" w14:textId="1E3F5810" w:rsidR="00543BA5" w:rsidRPr="00543BA5" w:rsidRDefault="00D66D93" w:rsidP="00543BA5">
            <w:pPr>
              <w:jc w:val="right"/>
              <w:textAlignment w:val="baseline"/>
              <w:rPr>
                <w:rFonts w:ascii="Cambria" w:eastAsia="Times New Roman" w:hAnsi="Cambria" w:cs="Times New Roman"/>
                <w:sz w:val="18"/>
                <w:szCs w:val="18"/>
                <w:lang w:eastAsia="lv-LV"/>
              </w:rPr>
            </w:pPr>
            <w:r>
              <w:rPr>
                <w:rFonts w:ascii="Cambria" w:eastAsia="Times New Roman" w:hAnsi="Cambria" w:cs="Times New Roman"/>
                <w:sz w:val="18"/>
                <w:szCs w:val="18"/>
                <w:lang w:eastAsia="lv-LV"/>
              </w:rPr>
              <w:t>-</w:t>
            </w:r>
          </w:p>
        </w:tc>
      </w:tr>
      <w:tr w:rsidR="00D66D93" w:rsidRPr="00E86E18" w14:paraId="57B45F96" w14:textId="77777777" w:rsidTr="007F05CE">
        <w:tc>
          <w:tcPr>
            <w:tcW w:w="3539" w:type="dxa"/>
            <w:tcBorders>
              <w:top w:val="nil"/>
              <w:bottom w:val="single" w:sz="4" w:space="0" w:color="auto"/>
            </w:tcBorders>
          </w:tcPr>
          <w:p w14:paraId="1B90C407" w14:textId="3A472031" w:rsidR="00D66D93" w:rsidRPr="00484BC5" w:rsidRDefault="00B45D64" w:rsidP="00D66D93">
            <w:pPr>
              <w:ind w:left="113"/>
              <w:jc w:val="left"/>
              <w:textAlignment w:val="baseline"/>
              <w:rPr>
                <w:rFonts w:ascii="Cambria" w:eastAsia="Times New Roman" w:hAnsi="Cambria" w:cs="Times New Roman"/>
                <w:sz w:val="14"/>
                <w:szCs w:val="14"/>
                <w:lang w:eastAsia="lv-LV"/>
              </w:rPr>
            </w:pPr>
            <w:r>
              <w:rPr>
                <w:rFonts w:ascii="Cambria" w:eastAsia="Times New Roman" w:hAnsi="Cambria" w:cs="Times New Roman"/>
                <w:i/>
                <w:iCs/>
                <w:sz w:val="14"/>
                <w:szCs w:val="14"/>
                <w:lang w:eastAsia="lv-LV"/>
              </w:rPr>
              <w:t>Maksa ar saražoto e</w:t>
            </w:r>
            <w:r w:rsidR="00D66D93" w:rsidRPr="00484BC5">
              <w:rPr>
                <w:rFonts w:ascii="Cambria" w:eastAsia="Times New Roman" w:hAnsi="Cambria" w:cs="Times New Roman"/>
                <w:i/>
                <w:iCs/>
                <w:sz w:val="14"/>
                <w:szCs w:val="14"/>
                <w:lang w:eastAsia="lv-LV"/>
              </w:rPr>
              <w:t>lektroenerģij</w:t>
            </w:r>
            <w:r>
              <w:rPr>
                <w:rFonts w:ascii="Cambria" w:eastAsia="Times New Roman" w:hAnsi="Cambria" w:cs="Times New Roman"/>
                <w:i/>
                <w:iCs/>
                <w:sz w:val="14"/>
                <w:szCs w:val="14"/>
                <w:lang w:eastAsia="lv-LV"/>
              </w:rPr>
              <w:t>u</w:t>
            </w:r>
            <w:r w:rsidR="00D66D93" w:rsidRPr="00484BC5">
              <w:rPr>
                <w:rFonts w:ascii="Cambria" w:eastAsia="Times New Roman" w:hAnsi="Cambria" w:cs="Times New Roman"/>
                <w:i/>
                <w:iCs/>
                <w:sz w:val="14"/>
                <w:szCs w:val="14"/>
                <w:lang w:eastAsia="lv-LV"/>
              </w:rPr>
              <w:t xml:space="preserve"> EUR/MWh</w:t>
            </w:r>
          </w:p>
        </w:tc>
        <w:tc>
          <w:tcPr>
            <w:tcW w:w="1559" w:type="dxa"/>
            <w:tcBorders>
              <w:top w:val="nil"/>
              <w:bottom w:val="single" w:sz="4" w:space="0" w:color="auto"/>
            </w:tcBorders>
          </w:tcPr>
          <w:p w14:paraId="1BBCF106" w14:textId="4CDEE68C" w:rsidR="00D66D93" w:rsidRPr="00484BC5" w:rsidRDefault="00D66D93" w:rsidP="00543BA5">
            <w:pPr>
              <w:jc w:val="right"/>
              <w:textAlignment w:val="baseline"/>
              <w:rPr>
                <w:rFonts w:ascii="Cambria" w:eastAsia="Times New Roman" w:hAnsi="Cambria" w:cs="Times New Roman"/>
                <w:i/>
                <w:iCs/>
                <w:sz w:val="14"/>
                <w:szCs w:val="14"/>
                <w:lang w:eastAsia="lv-LV"/>
              </w:rPr>
            </w:pPr>
            <w:r w:rsidRPr="00484BC5">
              <w:rPr>
                <w:rFonts w:ascii="Cambria" w:eastAsia="Times New Roman" w:hAnsi="Cambria" w:cs="Times New Roman"/>
                <w:i/>
                <w:iCs/>
                <w:sz w:val="14"/>
                <w:szCs w:val="14"/>
                <w:lang w:eastAsia="lv-LV"/>
              </w:rPr>
              <w:t>0,50</w:t>
            </w:r>
          </w:p>
        </w:tc>
        <w:tc>
          <w:tcPr>
            <w:tcW w:w="1560" w:type="dxa"/>
            <w:tcBorders>
              <w:top w:val="nil"/>
              <w:bottom w:val="single" w:sz="4" w:space="0" w:color="auto"/>
            </w:tcBorders>
          </w:tcPr>
          <w:p w14:paraId="3A773AA9" w14:textId="77777777" w:rsidR="00D66D93" w:rsidRPr="00484BC5" w:rsidRDefault="00D66D93" w:rsidP="00543BA5">
            <w:pPr>
              <w:jc w:val="right"/>
              <w:textAlignment w:val="baseline"/>
              <w:rPr>
                <w:rFonts w:ascii="Cambria" w:eastAsia="Times New Roman" w:hAnsi="Cambria" w:cs="Times New Roman"/>
                <w:sz w:val="14"/>
                <w:szCs w:val="14"/>
                <w:lang w:eastAsia="lv-LV"/>
              </w:rPr>
            </w:pPr>
          </w:p>
        </w:tc>
        <w:tc>
          <w:tcPr>
            <w:tcW w:w="1972" w:type="dxa"/>
            <w:tcBorders>
              <w:top w:val="nil"/>
              <w:bottom w:val="single" w:sz="4" w:space="0" w:color="auto"/>
            </w:tcBorders>
          </w:tcPr>
          <w:p w14:paraId="0B124A2D" w14:textId="7F22110F" w:rsidR="00D66D93" w:rsidRPr="00484BC5" w:rsidRDefault="00D66D93" w:rsidP="00543BA5">
            <w:pPr>
              <w:jc w:val="right"/>
              <w:textAlignment w:val="baseline"/>
              <w:rPr>
                <w:rFonts w:ascii="Cambria" w:eastAsia="Times New Roman" w:hAnsi="Cambria" w:cs="Times New Roman"/>
                <w:sz w:val="14"/>
                <w:szCs w:val="14"/>
                <w:lang w:eastAsia="lv-LV"/>
              </w:rPr>
            </w:pPr>
            <w:r w:rsidRPr="00484BC5">
              <w:rPr>
                <w:rFonts w:ascii="Cambria" w:eastAsia="Times New Roman" w:hAnsi="Cambria" w:cs="Times New Roman"/>
                <w:sz w:val="14"/>
                <w:szCs w:val="14"/>
                <w:lang w:eastAsia="lv-LV"/>
              </w:rPr>
              <w:t>-</w:t>
            </w:r>
          </w:p>
        </w:tc>
      </w:tr>
      <w:tr w:rsidR="00484BC5" w:rsidRPr="00E86E18" w14:paraId="3DC26D21" w14:textId="77777777" w:rsidTr="00090F74">
        <w:tc>
          <w:tcPr>
            <w:tcW w:w="8630" w:type="dxa"/>
            <w:gridSpan w:val="4"/>
            <w:tcBorders>
              <w:top w:val="nil"/>
              <w:bottom w:val="single" w:sz="4" w:space="0" w:color="auto"/>
            </w:tcBorders>
          </w:tcPr>
          <w:p w14:paraId="41720B03" w14:textId="77777777" w:rsidR="00484BC5" w:rsidRPr="00BF4CD8" w:rsidRDefault="00BF4CD8" w:rsidP="00BF4CD8">
            <w:pPr>
              <w:tabs>
                <w:tab w:val="left" w:pos="2850"/>
              </w:tabs>
              <w:textAlignment w:val="baseline"/>
              <w:rPr>
                <w:rFonts w:ascii="Cambria" w:eastAsia="Times New Roman" w:hAnsi="Cambria" w:cs="Times New Roman"/>
                <w:sz w:val="18"/>
                <w:szCs w:val="18"/>
                <w:lang w:eastAsia="lv-LV"/>
              </w:rPr>
            </w:pPr>
            <w:r w:rsidRPr="00BF4CD8">
              <w:rPr>
                <w:rFonts w:ascii="Cambria" w:eastAsia="Times New Roman" w:hAnsi="Cambria" w:cs="Times New Roman"/>
                <w:sz w:val="18"/>
                <w:szCs w:val="18"/>
                <w:lang w:eastAsia="lv-LV"/>
              </w:rPr>
              <w:t>Saskaņā ar 07.11.2023. MK noteikumiem Nr.635 "Elektroenerģijas tirdzniecības un lietošanas noteikumi", izmantojot sistēmas operatora sniegtos sistēmas pakalpojumus:</w:t>
            </w:r>
          </w:p>
          <w:p w14:paraId="3F18CCD6" w14:textId="77777777" w:rsidR="00A07AAE" w:rsidRDefault="00BF4CD8" w:rsidP="00A07AAE">
            <w:pPr>
              <w:pStyle w:val="ListParagraph"/>
              <w:numPr>
                <w:ilvl w:val="0"/>
                <w:numId w:val="1"/>
              </w:numPr>
              <w:tabs>
                <w:tab w:val="left" w:pos="2850"/>
              </w:tabs>
              <w:textAlignment w:val="baseline"/>
              <w:rPr>
                <w:rFonts w:ascii="Cambria" w:eastAsia="Times New Roman" w:hAnsi="Cambria" w:cs="Times New Roman"/>
                <w:sz w:val="18"/>
                <w:szCs w:val="18"/>
                <w:lang w:eastAsia="lv-LV"/>
              </w:rPr>
            </w:pPr>
            <w:r w:rsidRPr="00BF4CD8">
              <w:rPr>
                <w:rFonts w:ascii="Cambria" w:eastAsia="Times New Roman" w:hAnsi="Cambria" w:cs="Times New Roman"/>
                <w:sz w:val="18"/>
                <w:szCs w:val="18"/>
                <w:lang w:eastAsia="lv-LV"/>
              </w:rPr>
              <w:t>lietotājam ir pienākums norēķināties par patērēto reaktīvo enerģiju, ja tg φ ir lielāks par 0,4 (jaudas koeficients cos φ &lt; 0,929), atbilstoši maksai 0,004 EUR/kVArh – lietotājiem, kuru elektroietaises pieslēgtas vismaz sešu kilovoltu spriegumam ar atļauto slodzi 100 kilovatu un lielāku, vai pārējiem lietotājiem ar ievadaizsardzības aparāta strāvas lielumu 200 ampēru un lielāku;</w:t>
            </w:r>
          </w:p>
          <w:p w14:paraId="1E1F9C78" w14:textId="2E8C24CC" w:rsidR="00BF4CD8" w:rsidRPr="00A07AAE" w:rsidRDefault="00BF4CD8" w:rsidP="00A07AAE">
            <w:pPr>
              <w:pStyle w:val="ListParagraph"/>
              <w:numPr>
                <w:ilvl w:val="0"/>
                <w:numId w:val="1"/>
              </w:numPr>
              <w:tabs>
                <w:tab w:val="left" w:pos="2850"/>
              </w:tabs>
              <w:textAlignment w:val="baseline"/>
              <w:rPr>
                <w:rFonts w:ascii="Cambria" w:eastAsia="Times New Roman" w:hAnsi="Cambria" w:cs="Times New Roman"/>
                <w:sz w:val="18"/>
                <w:szCs w:val="18"/>
                <w:lang w:eastAsia="lv-LV"/>
              </w:rPr>
            </w:pPr>
            <w:r w:rsidRPr="00A07AAE">
              <w:rPr>
                <w:rFonts w:ascii="Cambria" w:eastAsia="Times New Roman" w:hAnsi="Cambria" w:cs="Times New Roman"/>
                <w:sz w:val="18"/>
                <w:szCs w:val="18"/>
                <w:lang w:eastAsia="lv-LV"/>
              </w:rPr>
              <w:t>lietotājiem, kuru elektroietaises pieslēgtas vismaz sešu kilovoltu spriegumam ar atļauto slodzi 100 kilovatu un lielāku, vai pārējiem lietotājiem ar ievadaizsardzības aparāta strāvas lielumu 200 ampēru un lielāku ir pienākums samaksāt par visu sistēmas operatora tīklā nodoto reaktīvo enerģiju atbilstoši maksai 0,013 EUR/kVArh.</w:t>
            </w:r>
          </w:p>
        </w:tc>
      </w:tr>
      <w:tr w:rsidR="00CA7EB2" w:rsidRPr="00E86E18" w14:paraId="1B8B7C09" w14:textId="77777777" w:rsidTr="00E53255">
        <w:tc>
          <w:tcPr>
            <w:tcW w:w="3539" w:type="dxa"/>
            <w:tcBorders>
              <w:top w:val="single" w:sz="4" w:space="0" w:color="auto"/>
              <w:left w:val="nil"/>
              <w:bottom w:val="single" w:sz="4" w:space="0" w:color="auto"/>
              <w:right w:val="nil"/>
            </w:tcBorders>
            <w:hideMark/>
          </w:tcPr>
          <w:p w14:paraId="3516756A" w14:textId="2C312BEC" w:rsidR="00CA7EB2" w:rsidRPr="00E86E18" w:rsidRDefault="00CA7EB2" w:rsidP="00CA7EB2">
            <w:pPr>
              <w:jc w:val="left"/>
              <w:textAlignment w:val="baseline"/>
              <w:rPr>
                <w:rFonts w:ascii="Cambria" w:eastAsia="Times New Roman" w:hAnsi="Cambria" w:cs="Times New Roman"/>
                <w:sz w:val="19"/>
                <w:szCs w:val="24"/>
                <w:lang w:eastAsia="lv-LV"/>
              </w:rPr>
            </w:pPr>
          </w:p>
        </w:tc>
        <w:tc>
          <w:tcPr>
            <w:tcW w:w="1559" w:type="dxa"/>
            <w:tcBorders>
              <w:top w:val="single" w:sz="4" w:space="0" w:color="auto"/>
              <w:left w:val="nil"/>
              <w:bottom w:val="single" w:sz="4" w:space="0" w:color="auto"/>
              <w:right w:val="nil"/>
            </w:tcBorders>
            <w:hideMark/>
          </w:tcPr>
          <w:p w14:paraId="39A3455D" w14:textId="77777777" w:rsidR="00CA7EB2" w:rsidRPr="00E86E18" w:rsidRDefault="00CA7EB2" w:rsidP="00CA7EB2">
            <w:pPr>
              <w:jc w:val="left"/>
              <w:textAlignment w:val="baseline"/>
              <w:rPr>
                <w:rFonts w:ascii="Cambria" w:eastAsia="Times New Roman" w:hAnsi="Cambria" w:cs="Times New Roman"/>
                <w:sz w:val="19"/>
                <w:szCs w:val="24"/>
                <w:lang w:eastAsia="lv-LV"/>
              </w:rPr>
            </w:pPr>
            <w:r w:rsidRPr="00E86E18">
              <w:rPr>
                <w:rFonts w:ascii="Cambria" w:eastAsia="Times New Roman" w:hAnsi="Cambria" w:cs="Times New Roman"/>
                <w:sz w:val="19"/>
                <w:szCs w:val="21"/>
                <w:lang w:eastAsia="lv-LV"/>
              </w:rPr>
              <w:t>  </w:t>
            </w:r>
          </w:p>
        </w:tc>
        <w:tc>
          <w:tcPr>
            <w:tcW w:w="1560" w:type="dxa"/>
            <w:tcBorders>
              <w:top w:val="single" w:sz="4" w:space="0" w:color="auto"/>
              <w:left w:val="nil"/>
              <w:bottom w:val="single" w:sz="4" w:space="0" w:color="auto"/>
              <w:right w:val="nil"/>
            </w:tcBorders>
            <w:hideMark/>
          </w:tcPr>
          <w:p w14:paraId="47A8E32A" w14:textId="77777777" w:rsidR="00CA7EB2" w:rsidRPr="00E86E18" w:rsidRDefault="00CA7EB2" w:rsidP="00CA7EB2">
            <w:pPr>
              <w:jc w:val="left"/>
              <w:textAlignment w:val="baseline"/>
              <w:rPr>
                <w:rFonts w:ascii="Cambria" w:eastAsia="Times New Roman" w:hAnsi="Cambria" w:cs="Times New Roman"/>
                <w:sz w:val="19"/>
                <w:szCs w:val="24"/>
                <w:lang w:eastAsia="lv-LV"/>
              </w:rPr>
            </w:pPr>
            <w:r w:rsidRPr="00E86E18">
              <w:rPr>
                <w:rFonts w:ascii="Cambria" w:eastAsia="Times New Roman" w:hAnsi="Cambria" w:cs="Times New Roman"/>
                <w:sz w:val="19"/>
                <w:szCs w:val="21"/>
                <w:lang w:eastAsia="lv-LV"/>
              </w:rPr>
              <w:t>  </w:t>
            </w:r>
          </w:p>
        </w:tc>
        <w:tc>
          <w:tcPr>
            <w:tcW w:w="1972" w:type="dxa"/>
            <w:tcBorders>
              <w:top w:val="single" w:sz="4" w:space="0" w:color="auto"/>
              <w:left w:val="nil"/>
              <w:bottom w:val="single" w:sz="4" w:space="0" w:color="auto"/>
              <w:right w:val="nil"/>
            </w:tcBorders>
            <w:hideMark/>
          </w:tcPr>
          <w:p w14:paraId="351FAF0E" w14:textId="77777777" w:rsidR="00CA7EB2" w:rsidRPr="00E86E18" w:rsidRDefault="00CA7EB2" w:rsidP="00CA7EB2">
            <w:pPr>
              <w:jc w:val="left"/>
              <w:textAlignment w:val="baseline"/>
              <w:rPr>
                <w:rFonts w:ascii="Cambria" w:eastAsia="Times New Roman" w:hAnsi="Cambria" w:cs="Times New Roman"/>
                <w:sz w:val="19"/>
                <w:szCs w:val="24"/>
                <w:lang w:eastAsia="lv-LV"/>
              </w:rPr>
            </w:pPr>
            <w:r w:rsidRPr="00E86E18">
              <w:rPr>
                <w:rFonts w:ascii="Cambria" w:eastAsia="Times New Roman" w:hAnsi="Cambria" w:cs="Times New Roman"/>
                <w:sz w:val="19"/>
                <w:szCs w:val="21"/>
                <w:lang w:eastAsia="lv-LV"/>
              </w:rPr>
              <w:t>  </w:t>
            </w:r>
          </w:p>
        </w:tc>
      </w:tr>
      <w:tr w:rsidR="00CA7EB2" w:rsidRPr="00E86E18" w14:paraId="333C7DC4" w14:textId="77777777" w:rsidTr="00804C96">
        <w:tc>
          <w:tcPr>
            <w:tcW w:w="8630" w:type="dxa"/>
            <w:gridSpan w:val="4"/>
            <w:tcBorders>
              <w:top w:val="single" w:sz="4" w:space="0" w:color="auto"/>
              <w:bottom w:val="single" w:sz="4" w:space="0" w:color="auto"/>
            </w:tcBorders>
            <w:hideMark/>
          </w:tcPr>
          <w:p w14:paraId="512237D7" w14:textId="251FC595" w:rsidR="00CA7EB2" w:rsidRDefault="00CA7EB2" w:rsidP="00CA7EB2">
            <w:pPr>
              <w:textAlignment w:val="baseline"/>
              <w:rPr>
                <w:rFonts w:ascii="Cambria" w:eastAsia="Times New Roman" w:hAnsi="Cambria" w:cs="Times New Roman"/>
                <w:sz w:val="19"/>
                <w:szCs w:val="21"/>
                <w:lang w:eastAsia="lv-LV"/>
              </w:rPr>
            </w:pPr>
            <w:r w:rsidRPr="003A55C3">
              <w:rPr>
                <w:rFonts w:ascii="Cambria" w:eastAsia="Times New Roman" w:hAnsi="Cambria" w:cs="Times New Roman"/>
                <w:sz w:val="19"/>
                <w:szCs w:val="21"/>
                <w:lang w:eastAsia="lv-LV"/>
              </w:rPr>
              <w:t>Piedāvātais tarifs varētu stāties spēkā ar 2026.gada 1.janvāri. Spēkā esošā tarifa izmaiņas ir saistītas ar to, ka 2025.gada 31.decembrī beidzas SIA Riga Port Electric spēkā esošā elektroenerģijas sadales sistēmas pakalpojumu tarifa regulatīvais periods. </w:t>
            </w:r>
          </w:p>
          <w:p w14:paraId="75843948" w14:textId="77777777" w:rsidR="00963F69" w:rsidRDefault="00963F69" w:rsidP="00CA7EB2">
            <w:pPr>
              <w:textAlignment w:val="baseline"/>
              <w:rPr>
                <w:rFonts w:ascii="Cambria" w:eastAsia="Times New Roman" w:hAnsi="Cambria" w:cs="Times New Roman"/>
                <w:sz w:val="19"/>
                <w:szCs w:val="24"/>
                <w:lang w:eastAsia="lv-LV"/>
              </w:rPr>
            </w:pPr>
          </w:p>
          <w:p w14:paraId="65A41F0A" w14:textId="478EA2DB" w:rsidR="00BB1EDD" w:rsidRPr="003A55C3" w:rsidRDefault="00BB1EDD" w:rsidP="00CA7EB2">
            <w:pPr>
              <w:textAlignment w:val="baseline"/>
              <w:rPr>
                <w:rFonts w:ascii="Cambria" w:eastAsia="Times New Roman" w:hAnsi="Cambria" w:cs="Times New Roman"/>
                <w:sz w:val="19"/>
                <w:szCs w:val="24"/>
                <w:lang w:eastAsia="lv-LV"/>
              </w:rPr>
            </w:pPr>
            <w:r w:rsidRPr="00BB1EDD">
              <w:rPr>
                <w:rFonts w:ascii="Cambria" w:eastAsia="Times New Roman" w:hAnsi="Cambria" w:cs="Times New Roman"/>
                <w:sz w:val="19"/>
                <w:szCs w:val="24"/>
                <w:lang w:eastAsia="lv-LV"/>
              </w:rPr>
              <w:t>Iesniegtais tarif</w:t>
            </w:r>
            <w:r w:rsidR="003C5E79">
              <w:rPr>
                <w:rFonts w:ascii="Cambria" w:eastAsia="Times New Roman" w:hAnsi="Cambria" w:cs="Times New Roman"/>
                <w:sz w:val="19"/>
                <w:szCs w:val="24"/>
                <w:lang w:eastAsia="lv-LV"/>
              </w:rPr>
              <w:t>a</w:t>
            </w:r>
            <w:r w:rsidRPr="00BB1EDD">
              <w:rPr>
                <w:rFonts w:ascii="Cambria" w:eastAsia="Times New Roman" w:hAnsi="Cambria" w:cs="Times New Roman"/>
                <w:sz w:val="19"/>
                <w:szCs w:val="24"/>
                <w:lang w:eastAsia="lv-LV"/>
              </w:rPr>
              <w:t xml:space="preserve"> projekts paredz vidēji 13,3% elektroenerģijas sadales sistēmas pakalpojumu izmaksu pieaugumu lietotājiem, salīdzinot ar šobrīd spēkā esoš</w:t>
            </w:r>
            <w:r>
              <w:rPr>
                <w:rFonts w:ascii="Cambria" w:eastAsia="Times New Roman" w:hAnsi="Cambria" w:cs="Times New Roman"/>
                <w:sz w:val="19"/>
                <w:szCs w:val="24"/>
                <w:lang w:eastAsia="lv-LV"/>
              </w:rPr>
              <w:t>o</w:t>
            </w:r>
            <w:r w:rsidRPr="00BB1EDD">
              <w:rPr>
                <w:rFonts w:ascii="Cambria" w:eastAsia="Times New Roman" w:hAnsi="Cambria" w:cs="Times New Roman"/>
                <w:sz w:val="19"/>
                <w:szCs w:val="24"/>
                <w:lang w:eastAsia="lv-LV"/>
              </w:rPr>
              <w:t xml:space="preserve"> (kopš 2024.gada 1.janvāra) SIA Riga Port Electric diferencēt</w:t>
            </w:r>
            <w:r w:rsidR="0020653F">
              <w:rPr>
                <w:rFonts w:ascii="Cambria" w:eastAsia="Times New Roman" w:hAnsi="Cambria" w:cs="Times New Roman"/>
                <w:sz w:val="19"/>
                <w:szCs w:val="24"/>
                <w:lang w:eastAsia="lv-LV"/>
              </w:rPr>
              <w:t>ajiem</w:t>
            </w:r>
            <w:r w:rsidRPr="00BB1EDD">
              <w:rPr>
                <w:rFonts w:ascii="Cambria" w:eastAsia="Times New Roman" w:hAnsi="Cambria" w:cs="Times New Roman"/>
                <w:sz w:val="19"/>
                <w:szCs w:val="24"/>
                <w:lang w:eastAsia="lv-LV"/>
              </w:rPr>
              <w:t xml:space="preserve"> elektroenerģijas sadales sistēmas pakalpojumu tarif</w:t>
            </w:r>
            <w:r w:rsidR="0020653F">
              <w:rPr>
                <w:rFonts w:ascii="Cambria" w:eastAsia="Times New Roman" w:hAnsi="Cambria" w:cs="Times New Roman"/>
                <w:sz w:val="19"/>
                <w:szCs w:val="24"/>
                <w:lang w:eastAsia="lv-LV"/>
              </w:rPr>
              <w:t>iem</w:t>
            </w:r>
            <w:r>
              <w:rPr>
                <w:rFonts w:ascii="Cambria" w:eastAsia="Times New Roman" w:hAnsi="Cambria" w:cs="Times New Roman"/>
                <w:sz w:val="19"/>
                <w:szCs w:val="24"/>
                <w:lang w:eastAsia="lv-LV"/>
              </w:rPr>
              <w:t xml:space="preserve">. </w:t>
            </w:r>
            <w:r w:rsidRPr="00BB1EDD">
              <w:rPr>
                <w:rFonts w:ascii="Cambria" w:eastAsia="Times New Roman" w:hAnsi="Cambria" w:cs="Times New Roman"/>
                <w:sz w:val="19"/>
                <w:szCs w:val="24"/>
                <w:lang w:eastAsia="lv-LV"/>
              </w:rPr>
              <w:t xml:space="preserve">Tarifa pieaugums galvenokārt skaidrojams ar </w:t>
            </w:r>
            <w:r>
              <w:rPr>
                <w:rFonts w:ascii="Cambria" w:eastAsia="Times New Roman" w:hAnsi="Cambria" w:cs="Times New Roman"/>
                <w:sz w:val="19"/>
                <w:szCs w:val="24"/>
                <w:lang w:eastAsia="lv-LV"/>
              </w:rPr>
              <w:t>lietotāju elektroenerģijas patēriņa</w:t>
            </w:r>
            <w:r w:rsidRPr="00BB1EDD">
              <w:rPr>
                <w:rFonts w:ascii="Cambria" w:eastAsia="Times New Roman" w:hAnsi="Cambria" w:cs="Times New Roman"/>
                <w:sz w:val="19"/>
                <w:szCs w:val="24"/>
                <w:lang w:eastAsia="lv-LV"/>
              </w:rPr>
              <w:t xml:space="preserve"> samazināj</w:t>
            </w:r>
            <w:r>
              <w:rPr>
                <w:rFonts w:ascii="Cambria" w:eastAsia="Times New Roman" w:hAnsi="Cambria" w:cs="Times New Roman"/>
                <w:sz w:val="19"/>
                <w:szCs w:val="24"/>
                <w:lang w:eastAsia="lv-LV"/>
              </w:rPr>
              <w:t>umu</w:t>
            </w:r>
            <w:r w:rsidR="003C5E79">
              <w:rPr>
                <w:rFonts w:ascii="Cambria" w:eastAsia="Times New Roman" w:hAnsi="Cambria" w:cs="Times New Roman"/>
                <w:sz w:val="19"/>
                <w:szCs w:val="24"/>
                <w:lang w:eastAsia="lv-LV"/>
              </w:rPr>
              <w:t xml:space="preserve"> </w:t>
            </w:r>
            <w:r w:rsidR="0020653F">
              <w:rPr>
                <w:rFonts w:ascii="Cambria" w:eastAsia="Times New Roman" w:hAnsi="Cambria" w:cs="Times New Roman"/>
                <w:sz w:val="19"/>
                <w:szCs w:val="24"/>
                <w:lang w:eastAsia="lv-LV"/>
              </w:rPr>
              <w:t xml:space="preserve">kā arī </w:t>
            </w:r>
            <w:r w:rsidR="003C5E79">
              <w:rPr>
                <w:rFonts w:ascii="Cambria" w:eastAsia="Times New Roman" w:hAnsi="Cambria" w:cs="Times New Roman"/>
                <w:sz w:val="19"/>
                <w:szCs w:val="24"/>
                <w:lang w:eastAsia="lv-LV"/>
              </w:rPr>
              <w:t>kopējos sadales sistēmas operatora izmaksu pieaugumu. Tarif</w:t>
            </w:r>
            <w:r w:rsidR="00B21C62">
              <w:rPr>
                <w:rFonts w:ascii="Cambria" w:eastAsia="Times New Roman" w:hAnsi="Cambria" w:cs="Times New Roman"/>
                <w:sz w:val="19"/>
                <w:szCs w:val="24"/>
                <w:lang w:eastAsia="lv-LV"/>
              </w:rPr>
              <w:t>a</w:t>
            </w:r>
            <w:r w:rsidR="003C5E79">
              <w:rPr>
                <w:rFonts w:ascii="Cambria" w:eastAsia="Times New Roman" w:hAnsi="Cambria" w:cs="Times New Roman"/>
                <w:sz w:val="19"/>
                <w:szCs w:val="24"/>
                <w:lang w:eastAsia="lv-LV"/>
              </w:rPr>
              <w:t xml:space="preserve"> projektā aprēķinātās kapitāla izmaksas ir par 9,9% mazākas, salīdzinot ar iepriekšējo regulatīvo periodu, kamēr ta</w:t>
            </w:r>
            <w:r w:rsidR="00E64F0F">
              <w:rPr>
                <w:rFonts w:ascii="Cambria" w:eastAsia="Times New Roman" w:hAnsi="Cambria" w:cs="Times New Roman"/>
                <w:sz w:val="19"/>
                <w:szCs w:val="24"/>
                <w:lang w:eastAsia="lv-LV"/>
              </w:rPr>
              <w:t>r</w:t>
            </w:r>
            <w:r w:rsidR="003C5E79">
              <w:rPr>
                <w:rFonts w:ascii="Cambria" w:eastAsia="Times New Roman" w:hAnsi="Cambria" w:cs="Times New Roman"/>
                <w:sz w:val="19"/>
                <w:szCs w:val="24"/>
                <w:lang w:eastAsia="lv-LV"/>
              </w:rPr>
              <w:t>ifa projektā aprēķinātās ekspluatācijas izmaksas ir palielinājušās par 22,2%, salīdzinot ar iepriekšējo regulatīvo periodu.</w:t>
            </w:r>
          </w:p>
          <w:p w14:paraId="464DA6BD" w14:textId="77777777" w:rsidR="00963F69" w:rsidRDefault="00963F69" w:rsidP="00CA7EB2">
            <w:pPr>
              <w:textAlignment w:val="baseline"/>
              <w:rPr>
                <w:rFonts w:ascii="Cambria" w:eastAsia="Times New Roman" w:hAnsi="Cambria" w:cs="Times New Roman"/>
                <w:sz w:val="19"/>
                <w:szCs w:val="21"/>
                <w:lang w:eastAsia="lv-LV"/>
              </w:rPr>
            </w:pPr>
          </w:p>
          <w:p w14:paraId="28C51364" w14:textId="0A0B0B07" w:rsidR="00CA7EB2" w:rsidRPr="003A55C3" w:rsidRDefault="00CA7EB2" w:rsidP="00CA7EB2">
            <w:pPr>
              <w:textAlignment w:val="baseline"/>
              <w:rPr>
                <w:rFonts w:ascii="Cambria" w:eastAsia="Times New Roman" w:hAnsi="Cambria" w:cs="Times New Roman"/>
                <w:sz w:val="19"/>
                <w:szCs w:val="24"/>
                <w:lang w:eastAsia="lv-LV"/>
              </w:rPr>
            </w:pPr>
            <w:r w:rsidRPr="003A55C3">
              <w:rPr>
                <w:rFonts w:ascii="Cambria" w:eastAsia="Times New Roman" w:hAnsi="Cambria" w:cs="Times New Roman"/>
                <w:sz w:val="19"/>
                <w:szCs w:val="21"/>
                <w:lang w:eastAsia="lv-LV"/>
              </w:rPr>
              <w:t>Iepazīties ar tarifa projektā ietverto vispārpieejamo informāciju, kā arī sniegt savus priekšlikumus un ieteikumus par</w:t>
            </w:r>
            <w:r w:rsidRPr="003A55C3">
              <w:rPr>
                <w:rFonts w:ascii="Cambria" w:eastAsia="Times New Roman" w:hAnsi="Cambria" w:cs="Times New Roman"/>
                <w:sz w:val="19"/>
                <w:szCs w:val="20"/>
                <w:lang w:eastAsia="lv-LV"/>
              </w:rPr>
              <w:t xml:space="preserve"> elektroenerģijas sadales sistēmas pakalpojumu </w:t>
            </w:r>
            <w:r w:rsidRPr="003A55C3">
              <w:rPr>
                <w:rFonts w:ascii="Cambria" w:eastAsia="Times New Roman" w:hAnsi="Cambria" w:cs="Times New Roman"/>
                <w:sz w:val="19"/>
                <w:szCs w:val="21"/>
                <w:lang w:eastAsia="lv-LV"/>
              </w:rPr>
              <w:t>tarifa projektu lietotājs var</w:t>
            </w:r>
            <w:r w:rsidRPr="003A55C3">
              <w:rPr>
                <w:rFonts w:ascii="Cambria" w:eastAsia="Times New Roman" w:hAnsi="Cambria" w:cs="Times New Roman"/>
                <w:sz w:val="19"/>
                <w:szCs w:val="20"/>
                <w:lang w:eastAsia="lv-LV"/>
              </w:rPr>
              <w:t> </w:t>
            </w:r>
            <w:r w:rsidRPr="003A55C3">
              <w:rPr>
                <w:rFonts w:ascii="Cambria" w:eastAsia="Times New Roman" w:hAnsi="Cambria" w:cs="Times New Roman"/>
                <w:sz w:val="19"/>
                <w:szCs w:val="21"/>
                <w:lang w:eastAsia="lv-LV"/>
              </w:rPr>
              <w:t>Uriekstes ielā 9, Rīgā darba dienās no plkst.9:00 līdz plkt.16:00,</w:t>
            </w:r>
            <w:r w:rsidRPr="003A55C3">
              <w:rPr>
                <w:rFonts w:ascii="Cambria" w:eastAsia="Times New Roman" w:hAnsi="Cambria" w:cs="Times New Roman"/>
                <w:sz w:val="19"/>
                <w:szCs w:val="20"/>
                <w:lang w:eastAsia="lv-LV"/>
              </w:rPr>
              <w:t> </w:t>
            </w:r>
            <w:r w:rsidRPr="003A55C3">
              <w:rPr>
                <w:rFonts w:ascii="Cambria" w:eastAsia="Times New Roman" w:hAnsi="Cambria" w:cs="Times New Roman"/>
                <w:sz w:val="19"/>
                <w:szCs w:val="21"/>
                <w:lang w:eastAsia="lv-LV"/>
              </w:rPr>
              <w:t>iepriekš sazinoties ar</w:t>
            </w:r>
            <w:r w:rsidRPr="003A55C3">
              <w:rPr>
                <w:rFonts w:ascii="Cambria" w:eastAsia="Times New Roman" w:hAnsi="Cambria" w:cs="Times New Roman"/>
                <w:sz w:val="19"/>
                <w:szCs w:val="20"/>
                <w:lang w:eastAsia="lv-LV"/>
              </w:rPr>
              <w:t> </w:t>
            </w:r>
            <w:r w:rsidR="00963F69">
              <w:rPr>
                <w:rFonts w:ascii="Cambria" w:eastAsia="Times New Roman" w:hAnsi="Cambria" w:cs="Times New Roman"/>
                <w:sz w:val="19"/>
                <w:szCs w:val="20"/>
                <w:lang w:eastAsia="lv-LV"/>
              </w:rPr>
              <w:t>Imantu Žūriņu</w:t>
            </w:r>
            <w:r w:rsidRPr="003A55C3">
              <w:rPr>
                <w:rFonts w:ascii="Cambria" w:eastAsia="Times New Roman" w:hAnsi="Cambria" w:cs="Times New Roman"/>
                <w:sz w:val="19"/>
                <w:szCs w:val="20"/>
                <w:lang w:eastAsia="lv-LV"/>
              </w:rPr>
              <w:t>, tālr.</w:t>
            </w:r>
            <w:r w:rsidRPr="003A55C3">
              <w:t xml:space="preserve"> </w:t>
            </w:r>
            <w:r w:rsidRPr="003A55C3">
              <w:rPr>
                <w:rFonts w:ascii="Cambria" w:eastAsia="Times New Roman" w:hAnsi="Cambria" w:cs="Times New Roman"/>
                <w:sz w:val="19"/>
                <w:szCs w:val="20"/>
                <w:lang w:eastAsia="lv-LV"/>
              </w:rPr>
              <w:t>+371 28</w:t>
            </w:r>
            <w:r w:rsidR="00E64F0F">
              <w:rPr>
                <w:rFonts w:ascii="Cambria" w:eastAsia="Times New Roman" w:hAnsi="Cambria" w:cs="Times New Roman"/>
                <w:sz w:val="19"/>
                <w:szCs w:val="20"/>
                <w:lang w:eastAsia="lv-LV"/>
              </w:rPr>
              <w:t xml:space="preserve"> </w:t>
            </w:r>
            <w:r w:rsidRPr="003A55C3">
              <w:rPr>
                <w:rFonts w:ascii="Cambria" w:eastAsia="Times New Roman" w:hAnsi="Cambria" w:cs="Times New Roman"/>
                <w:sz w:val="19"/>
                <w:szCs w:val="20"/>
                <w:lang w:eastAsia="lv-LV"/>
              </w:rPr>
              <w:t>338</w:t>
            </w:r>
            <w:r w:rsidR="00E64F0F">
              <w:rPr>
                <w:rFonts w:ascii="Cambria" w:eastAsia="Times New Roman" w:hAnsi="Cambria" w:cs="Times New Roman"/>
                <w:sz w:val="19"/>
                <w:szCs w:val="20"/>
                <w:lang w:eastAsia="lv-LV"/>
              </w:rPr>
              <w:t xml:space="preserve"> </w:t>
            </w:r>
            <w:r w:rsidRPr="003A55C3">
              <w:rPr>
                <w:rFonts w:ascii="Cambria" w:eastAsia="Times New Roman" w:hAnsi="Cambria" w:cs="Times New Roman"/>
                <w:sz w:val="19"/>
                <w:szCs w:val="20"/>
                <w:lang w:eastAsia="lv-LV"/>
              </w:rPr>
              <w:t>335, elektrotikli@rigaport.lv</w:t>
            </w:r>
            <w:r w:rsidRPr="003A55C3">
              <w:rPr>
                <w:rFonts w:ascii="Cambria" w:eastAsia="Times New Roman" w:hAnsi="Cambria" w:cs="Times New Roman"/>
                <w:sz w:val="19"/>
                <w:szCs w:val="21"/>
                <w:lang w:eastAsia="lv-LV"/>
              </w:rPr>
              <w:t>. </w:t>
            </w:r>
          </w:p>
          <w:p w14:paraId="6B69FE0B" w14:textId="77777777" w:rsidR="00963F69" w:rsidRDefault="00963F69" w:rsidP="00CA7EB2">
            <w:pPr>
              <w:textAlignment w:val="baseline"/>
              <w:rPr>
                <w:rFonts w:ascii="Cambria" w:eastAsia="Times New Roman" w:hAnsi="Cambria" w:cs="Times New Roman"/>
                <w:sz w:val="19"/>
                <w:szCs w:val="21"/>
                <w:lang w:eastAsia="lv-LV"/>
              </w:rPr>
            </w:pPr>
          </w:p>
          <w:p w14:paraId="414FF37B" w14:textId="5A362D05" w:rsidR="00CA7EB2" w:rsidRPr="00E86E18" w:rsidRDefault="00CA7EB2" w:rsidP="00CA7EB2">
            <w:pPr>
              <w:textAlignment w:val="baseline"/>
              <w:rPr>
                <w:rFonts w:ascii="Cambria" w:eastAsia="Times New Roman" w:hAnsi="Cambria" w:cs="Times New Roman"/>
                <w:sz w:val="19"/>
                <w:szCs w:val="24"/>
                <w:lang w:eastAsia="lv-LV"/>
              </w:rPr>
            </w:pPr>
            <w:r w:rsidRPr="003A55C3">
              <w:rPr>
                <w:rFonts w:ascii="Cambria" w:eastAsia="Times New Roman" w:hAnsi="Cambria" w:cs="Times New Roman"/>
                <w:sz w:val="19"/>
                <w:szCs w:val="21"/>
                <w:lang w:eastAsia="lv-LV"/>
              </w:rPr>
              <w:t>Priekšlikumus un ieteikumus par tarifa projektu rakstveidā vai elektroniski var iesniegt</w:t>
            </w:r>
            <w:r w:rsidRPr="003A55C3">
              <w:rPr>
                <w:rFonts w:ascii="Cambria" w:eastAsia="Times New Roman" w:hAnsi="Cambria" w:cs="Times New Roman"/>
                <w:sz w:val="19"/>
                <w:szCs w:val="20"/>
                <w:lang w:eastAsia="lv-LV"/>
              </w:rPr>
              <w:t> </w:t>
            </w:r>
            <w:r w:rsidR="00D66E47">
              <w:rPr>
                <w:rFonts w:ascii="Cambria" w:eastAsia="Times New Roman" w:hAnsi="Cambria" w:cs="Times New Roman"/>
                <w:sz w:val="19"/>
                <w:szCs w:val="20"/>
                <w:lang w:eastAsia="lv-LV"/>
              </w:rPr>
              <w:t>SIA “Riga Port Electric”</w:t>
            </w:r>
            <w:r w:rsidRPr="003A55C3">
              <w:rPr>
                <w:rFonts w:ascii="Cambria" w:eastAsia="Times New Roman" w:hAnsi="Cambria" w:cs="Times New Roman"/>
                <w:sz w:val="19"/>
                <w:szCs w:val="21"/>
                <w:lang w:eastAsia="lv-LV"/>
              </w:rPr>
              <w:t xml:space="preserve"> Eksporta ielā 15 k-1, Rīga, LV-1045, vai elektroniski nosūtot tos uz elektroniskā pasta adresi elektrotikli@rigaport.lv</w:t>
            </w:r>
            <w:r w:rsidRPr="003A55C3">
              <w:rPr>
                <w:rFonts w:ascii="Cambria" w:eastAsia="Times New Roman" w:hAnsi="Cambria" w:cs="Times New Roman"/>
                <w:sz w:val="19"/>
                <w:szCs w:val="20"/>
                <w:lang w:eastAsia="lv-LV"/>
              </w:rPr>
              <w:t>, </w:t>
            </w:r>
            <w:r w:rsidRPr="003A55C3">
              <w:rPr>
                <w:rFonts w:ascii="Cambria" w:eastAsia="Times New Roman" w:hAnsi="Cambria" w:cs="Times New Roman"/>
                <w:sz w:val="19"/>
                <w:szCs w:val="21"/>
                <w:lang w:eastAsia="lv-LV"/>
              </w:rPr>
              <w:t xml:space="preserve">kā arī Sabiedrisko pakalpojumu regulēšanas komisijai </w:t>
            </w:r>
            <w:r w:rsidRPr="003A55C3">
              <w:rPr>
                <w:sz w:val="19"/>
                <w:szCs w:val="19"/>
              </w:rPr>
              <w:t>Skanstes ielā 25</w:t>
            </w:r>
            <w:r w:rsidRPr="003A55C3">
              <w:rPr>
                <w:rFonts w:ascii="Cambria" w:eastAsia="Times New Roman" w:hAnsi="Cambria" w:cs="Times New Roman"/>
                <w:sz w:val="19"/>
                <w:szCs w:val="21"/>
                <w:lang w:eastAsia="lv-LV"/>
              </w:rPr>
              <w:t>,</w:t>
            </w:r>
            <w:r w:rsidR="00FD4A89">
              <w:rPr>
                <w:rFonts w:ascii="Cambria" w:eastAsia="Times New Roman" w:hAnsi="Cambria" w:cs="Times New Roman"/>
                <w:sz w:val="19"/>
                <w:szCs w:val="21"/>
                <w:lang w:eastAsia="lv-LV"/>
              </w:rPr>
              <w:t xml:space="preserve"> Rīgā</w:t>
            </w:r>
            <w:r w:rsidR="006B6522">
              <w:rPr>
                <w:rFonts w:ascii="Cambria" w:eastAsia="Times New Roman" w:hAnsi="Cambria" w:cs="Times New Roman"/>
                <w:sz w:val="19"/>
                <w:szCs w:val="21"/>
                <w:lang w:eastAsia="lv-LV"/>
              </w:rPr>
              <w:t>, LV-1013,</w:t>
            </w:r>
            <w:r w:rsidRPr="003A55C3">
              <w:rPr>
                <w:rFonts w:ascii="Cambria" w:eastAsia="Times New Roman" w:hAnsi="Cambria" w:cs="Times New Roman"/>
                <w:sz w:val="19"/>
                <w:szCs w:val="21"/>
                <w:lang w:eastAsia="lv-LV"/>
              </w:rPr>
              <w:t xml:space="preserve"> elektroniskā pasta adrese: sprk@sprk.gov.lv </w:t>
            </w:r>
            <w:r w:rsidRPr="003A55C3">
              <w:rPr>
                <w:rFonts w:ascii="Cambria" w:eastAsia="Times New Roman" w:hAnsi="Cambria" w:cs="Times New Roman"/>
                <w:sz w:val="19"/>
                <w:szCs w:val="21"/>
                <w:u w:val="single"/>
                <w:lang w:eastAsia="lv-LV"/>
              </w:rPr>
              <w:t>20 dienu laikā</w:t>
            </w:r>
            <w:r w:rsidRPr="003A55C3">
              <w:rPr>
                <w:rFonts w:ascii="Cambria" w:eastAsia="Times New Roman" w:hAnsi="Cambria" w:cs="Times New Roman"/>
                <w:sz w:val="19"/>
                <w:szCs w:val="21"/>
                <w:lang w:eastAsia="lv-LV"/>
              </w:rPr>
              <w:t> no šā paziņojuma publicēšanas oficiālajā izdevumā "Latvijas Vēstnesis".</w:t>
            </w:r>
            <w:r w:rsidRPr="00E86E18">
              <w:rPr>
                <w:rFonts w:ascii="Cambria" w:eastAsia="Times New Roman" w:hAnsi="Cambria" w:cs="Times New Roman"/>
                <w:sz w:val="19"/>
                <w:szCs w:val="21"/>
                <w:lang w:eastAsia="lv-LV"/>
              </w:rPr>
              <w:t> </w:t>
            </w:r>
          </w:p>
        </w:tc>
      </w:tr>
      <w:tr w:rsidR="00CA7EB2" w:rsidRPr="00E86E18" w14:paraId="735D02A4" w14:textId="77777777" w:rsidTr="00804C96">
        <w:tc>
          <w:tcPr>
            <w:tcW w:w="8630" w:type="dxa"/>
            <w:gridSpan w:val="4"/>
            <w:tcBorders>
              <w:top w:val="single" w:sz="4" w:space="0" w:color="auto"/>
              <w:left w:val="nil"/>
              <w:bottom w:val="nil"/>
              <w:right w:val="nil"/>
            </w:tcBorders>
            <w:hideMark/>
          </w:tcPr>
          <w:p w14:paraId="622122FF" w14:textId="77777777" w:rsidR="00CA7EB2" w:rsidRDefault="00CA7EB2" w:rsidP="00CA7EB2">
            <w:pPr>
              <w:jc w:val="left"/>
              <w:textAlignment w:val="baseline"/>
              <w:rPr>
                <w:rFonts w:ascii="Cambria" w:eastAsia="Times New Roman" w:hAnsi="Cambria" w:cs="Times New Roman"/>
                <w:sz w:val="19"/>
                <w:szCs w:val="20"/>
                <w:lang w:eastAsia="lv-LV"/>
              </w:rPr>
            </w:pPr>
          </w:p>
          <w:p w14:paraId="2C48792A" w14:textId="1F63EE47" w:rsidR="00CA7EB2" w:rsidRPr="00E86E18" w:rsidRDefault="00CA7EB2" w:rsidP="00CA7EB2">
            <w:pPr>
              <w:jc w:val="left"/>
              <w:textAlignment w:val="baseline"/>
              <w:rPr>
                <w:rFonts w:ascii="Cambria" w:eastAsia="Times New Roman" w:hAnsi="Cambria" w:cs="Times New Roman"/>
                <w:sz w:val="19"/>
                <w:szCs w:val="24"/>
                <w:lang w:eastAsia="lv-LV"/>
              </w:rPr>
            </w:pPr>
            <w:r w:rsidRPr="00E86E18">
              <w:rPr>
                <w:rFonts w:ascii="Cambria" w:eastAsia="Times New Roman" w:hAnsi="Cambria" w:cs="Times New Roman"/>
                <w:sz w:val="19"/>
                <w:szCs w:val="20"/>
                <w:lang w:eastAsia="lv-LV"/>
              </w:rPr>
              <w:t xml:space="preserve">Datums </w:t>
            </w:r>
            <w:r>
              <w:rPr>
                <w:rFonts w:ascii="Cambria" w:eastAsia="Times New Roman" w:hAnsi="Cambria" w:cs="Times New Roman"/>
                <w:sz w:val="19"/>
                <w:szCs w:val="20"/>
                <w:lang w:eastAsia="lv-LV"/>
              </w:rPr>
              <w:t>0</w:t>
            </w:r>
            <w:r w:rsidR="009D0224">
              <w:rPr>
                <w:rFonts w:ascii="Cambria" w:eastAsia="Times New Roman" w:hAnsi="Cambria" w:cs="Times New Roman"/>
                <w:sz w:val="19"/>
                <w:szCs w:val="20"/>
                <w:lang w:eastAsia="lv-LV"/>
              </w:rPr>
              <w:t>7</w:t>
            </w:r>
            <w:r w:rsidRPr="00E86E18">
              <w:rPr>
                <w:rFonts w:ascii="Cambria" w:eastAsia="Times New Roman" w:hAnsi="Cambria" w:cs="Times New Roman"/>
                <w:sz w:val="19"/>
                <w:szCs w:val="20"/>
                <w:lang w:eastAsia="lv-LV"/>
              </w:rPr>
              <w:t>.</w:t>
            </w:r>
            <w:r>
              <w:rPr>
                <w:rFonts w:ascii="Cambria" w:eastAsia="Times New Roman" w:hAnsi="Cambria" w:cs="Times New Roman"/>
                <w:sz w:val="19"/>
                <w:szCs w:val="20"/>
                <w:lang w:eastAsia="lv-LV"/>
              </w:rPr>
              <w:t>08</w:t>
            </w:r>
            <w:r w:rsidRPr="00E86E18">
              <w:rPr>
                <w:rFonts w:ascii="Cambria" w:eastAsia="Times New Roman" w:hAnsi="Cambria" w:cs="Times New Roman"/>
                <w:sz w:val="19"/>
                <w:szCs w:val="20"/>
                <w:lang w:eastAsia="lv-LV"/>
              </w:rPr>
              <w:t>.</w:t>
            </w:r>
            <w:r>
              <w:rPr>
                <w:rFonts w:ascii="Cambria" w:eastAsia="Times New Roman" w:hAnsi="Cambria" w:cs="Times New Roman"/>
                <w:sz w:val="19"/>
                <w:szCs w:val="20"/>
                <w:lang w:eastAsia="lv-LV"/>
              </w:rPr>
              <w:t>2025</w:t>
            </w:r>
            <w:r w:rsidRPr="00E86E18">
              <w:rPr>
                <w:rFonts w:ascii="Cambria" w:eastAsia="Times New Roman" w:hAnsi="Cambria" w:cs="Times New Roman"/>
                <w:sz w:val="19"/>
                <w:szCs w:val="20"/>
                <w:lang w:eastAsia="lv-LV"/>
              </w:rPr>
              <w:t>. </w:t>
            </w:r>
          </w:p>
        </w:tc>
      </w:tr>
    </w:tbl>
    <w:p w14:paraId="523B4B3B" w14:textId="77777777" w:rsidR="005C7B3C" w:rsidRPr="00E86E18" w:rsidRDefault="005C7B3C" w:rsidP="005C7B3C">
      <w:pPr>
        <w:shd w:val="clear" w:color="auto" w:fill="FFFFFF"/>
        <w:spacing w:before="130" w:line="260" w:lineRule="exact"/>
        <w:ind w:firstLine="539"/>
        <w:jc w:val="left"/>
        <w:textAlignment w:val="baseline"/>
        <w:rPr>
          <w:rFonts w:ascii="Cambria" w:eastAsia="Times New Roman" w:hAnsi="Cambria" w:cs="Segoe UI"/>
          <w:sz w:val="19"/>
          <w:szCs w:val="18"/>
          <w:lang w:eastAsia="lv-LV"/>
        </w:rPr>
      </w:pPr>
      <w:r w:rsidRPr="00E86E18">
        <w:rPr>
          <w:rFonts w:ascii="Cambria" w:eastAsia="Times New Roman" w:hAnsi="Cambria" w:cs="Arial"/>
          <w:sz w:val="19"/>
          <w:szCs w:val="21"/>
          <w:lang w:eastAsia="lv-LV"/>
        </w:rPr>
        <w:t> </w:t>
      </w:r>
    </w:p>
    <w:tbl>
      <w:tblPr>
        <w:tblW w:w="5000" w:type="pct"/>
        <w:tblCellMar>
          <w:top w:w="28" w:type="dxa"/>
          <w:left w:w="28" w:type="dxa"/>
          <w:bottom w:w="28" w:type="dxa"/>
          <w:right w:w="28" w:type="dxa"/>
        </w:tblCellMar>
        <w:tblLook w:val="04A0" w:firstRow="1" w:lastRow="0" w:firstColumn="1" w:lastColumn="0" w:noHBand="0" w:noVBand="1"/>
      </w:tblPr>
      <w:tblGrid>
        <w:gridCol w:w="4062"/>
        <w:gridCol w:w="4578"/>
      </w:tblGrid>
      <w:tr w:rsidR="005C7B3C" w:rsidRPr="00E86E18" w14:paraId="4015C381" w14:textId="77777777" w:rsidTr="00652BA9">
        <w:tc>
          <w:tcPr>
            <w:tcW w:w="3900" w:type="dxa"/>
            <w:vAlign w:val="center"/>
            <w:hideMark/>
          </w:tcPr>
          <w:p w14:paraId="47C207CD" w14:textId="77777777" w:rsidR="005C7B3C" w:rsidRPr="00E86E18" w:rsidRDefault="005C7B3C" w:rsidP="00652BA9">
            <w:pPr>
              <w:jc w:val="left"/>
              <w:textAlignment w:val="baseline"/>
              <w:rPr>
                <w:rFonts w:ascii="Cambria" w:eastAsia="Times New Roman" w:hAnsi="Cambria" w:cs="Times New Roman"/>
                <w:sz w:val="19"/>
                <w:szCs w:val="24"/>
                <w:lang w:eastAsia="lv-LV"/>
              </w:rPr>
            </w:pPr>
            <w:r w:rsidRPr="00E86E18">
              <w:rPr>
                <w:rFonts w:ascii="Cambria" w:eastAsia="Times New Roman" w:hAnsi="Cambria" w:cs="Times New Roman"/>
                <w:sz w:val="19"/>
                <w:szCs w:val="21"/>
                <w:lang w:eastAsia="lv-LV"/>
              </w:rPr>
              <w:t>Persona, kura tiesīga pārstāvēt sabiedrisko pakalpojumu sniedzēju </w:t>
            </w:r>
          </w:p>
        </w:tc>
        <w:tc>
          <w:tcPr>
            <w:tcW w:w="4395" w:type="dxa"/>
            <w:tcBorders>
              <w:bottom w:val="single" w:sz="4" w:space="0" w:color="auto"/>
            </w:tcBorders>
            <w:vAlign w:val="center"/>
            <w:hideMark/>
          </w:tcPr>
          <w:p w14:paraId="79B2167D" w14:textId="59647C8F" w:rsidR="005C7B3C" w:rsidRPr="00E86E18" w:rsidRDefault="005C7B3C" w:rsidP="00652BA9">
            <w:pPr>
              <w:jc w:val="left"/>
              <w:textAlignment w:val="baseline"/>
              <w:rPr>
                <w:rFonts w:ascii="Cambria" w:eastAsia="Times New Roman" w:hAnsi="Cambria" w:cs="Times New Roman"/>
                <w:sz w:val="19"/>
                <w:szCs w:val="24"/>
                <w:lang w:eastAsia="lv-LV"/>
              </w:rPr>
            </w:pPr>
            <w:r w:rsidRPr="00E86E18">
              <w:rPr>
                <w:rFonts w:ascii="Cambria" w:eastAsia="Times New Roman" w:hAnsi="Cambria" w:cs="Times New Roman"/>
                <w:sz w:val="19"/>
                <w:szCs w:val="21"/>
                <w:lang w:eastAsia="lv-LV"/>
              </w:rPr>
              <w:t>  </w:t>
            </w:r>
            <w:r w:rsidR="00804C96">
              <w:rPr>
                <w:rFonts w:ascii="Cambria" w:eastAsia="Times New Roman" w:hAnsi="Cambria" w:cs="Times New Roman"/>
                <w:sz w:val="19"/>
                <w:szCs w:val="21"/>
                <w:lang w:eastAsia="lv-LV"/>
              </w:rPr>
              <w:t>Gaidis Gaspažiņš</w:t>
            </w:r>
          </w:p>
        </w:tc>
      </w:tr>
      <w:tr w:rsidR="005C7B3C" w:rsidRPr="00E86E18" w14:paraId="09A34853" w14:textId="77777777" w:rsidTr="00652BA9">
        <w:tc>
          <w:tcPr>
            <w:tcW w:w="3900" w:type="dxa"/>
            <w:vAlign w:val="center"/>
            <w:hideMark/>
          </w:tcPr>
          <w:p w14:paraId="1DF9FCB7" w14:textId="77777777" w:rsidR="005C7B3C" w:rsidRPr="00E86E18" w:rsidRDefault="005C7B3C" w:rsidP="00652BA9">
            <w:pPr>
              <w:jc w:val="left"/>
              <w:textAlignment w:val="baseline"/>
              <w:rPr>
                <w:rFonts w:ascii="Cambria" w:eastAsia="Times New Roman" w:hAnsi="Cambria" w:cs="Times New Roman"/>
                <w:sz w:val="17"/>
                <w:szCs w:val="17"/>
                <w:lang w:eastAsia="lv-LV"/>
              </w:rPr>
            </w:pPr>
            <w:r w:rsidRPr="00E86E18">
              <w:rPr>
                <w:rFonts w:ascii="Cambria" w:eastAsia="Times New Roman" w:hAnsi="Cambria" w:cs="Times New Roman"/>
                <w:sz w:val="17"/>
                <w:szCs w:val="17"/>
                <w:lang w:eastAsia="lv-LV"/>
              </w:rPr>
              <w:t>  </w:t>
            </w:r>
          </w:p>
        </w:tc>
        <w:tc>
          <w:tcPr>
            <w:tcW w:w="4395" w:type="dxa"/>
            <w:tcBorders>
              <w:top w:val="single" w:sz="4" w:space="0" w:color="auto"/>
            </w:tcBorders>
            <w:vAlign w:val="center"/>
            <w:hideMark/>
          </w:tcPr>
          <w:p w14:paraId="1A60AB96" w14:textId="77777777" w:rsidR="005C7B3C" w:rsidRPr="00E86E18" w:rsidRDefault="005C7B3C" w:rsidP="00652BA9">
            <w:pPr>
              <w:jc w:val="center"/>
              <w:textAlignment w:val="baseline"/>
              <w:rPr>
                <w:rFonts w:ascii="Cambria" w:eastAsia="Times New Roman" w:hAnsi="Cambria" w:cs="Times New Roman"/>
                <w:sz w:val="17"/>
                <w:szCs w:val="17"/>
                <w:lang w:eastAsia="lv-LV"/>
              </w:rPr>
            </w:pPr>
            <w:r w:rsidRPr="00E86E18">
              <w:rPr>
                <w:rFonts w:ascii="Cambria" w:eastAsia="Times New Roman" w:hAnsi="Cambria" w:cs="Times New Roman"/>
                <w:sz w:val="17"/>
                <w:szCs w:val="17"/>
                <w:lang w:eastAsia="lv-LV"/>
              </w:rPr>
              <w:t>/paraksts un tā atšifrējums/ </w:t>
            </w:r>
          </w:p>
        </w:tc>
      </w:tr>
    </w:tbl>
    <w:p w14:paraId="5B44CEA8" w14:textId="77777777" w:rsidR="005C7B3C" w:rsidRDefault="005C7B3C"/>
    <w:sectPr w:rsidR="005C7B3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707A5"/>
    <w:multiLevelType w:val="hybridMultilevel"/>
    <w:tmpl w:val="121C25C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77687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3C"/>
    <w:rsid w:val="000C284A"/>
    <w:rsid w:val="00110076"/>
    <w:rsid w:val="001221A0"/>
    <w:rsid w:val="00170A7D"/>
    <w:rsid w:val="00203B03"/>
    <w:rsid w:val="0020653F"/>
    <w:rsid w:val="00246523"/>
    <w:rsid w:val="00334243"/>
    <w:rsid w:val="00364015"/>
    <w:rsid w:val="003A55C3"/>
    <w:rsid w:val="003C5E79"/>
    <w:rsid w:val="00417B8C"/>
    <w:rsid w:val="00433161"/>
    <w:rsid w:val="00433AFB"/>
    <w:rsid w:val="00484BC5"/>
    <w:rsid w:val="004A3D13"/>
    <w:rsid w:val="004E7D5C"/>
    <w:rsid w:val="00511ACA"/>
    <w:rsid w:val="00524242"/>
    <w:rsid w:val="00541F8E"/>
    <w:rsid w:val="00543BA5"/>
    <w:rsid w:val="00595956"/>
    <w:rsid w:val="005C7B3C"/>
    <w:rsid w:val="005D11B1"/>
    <w:rsid w:val="006A74C5"/>
    <w:rsid w:val="006B6522"/>
    <w:rsid w:val="006C1004"/>
    <w:rsid w:val="00732D60"/>
    <w:rsid w:val="00761358"/>
    <w:rsid w:val="007F05CE"/>
    <w:rsid w:val="00804C96"/>
    <w:rsid w:val="00896BC5"/>
    <w:rsid w:val="00906CAB"/>
    <w:rsid w:val="00911A61"/>
    <w:rsid w:val="00963F69"/>
    <w:rsid w:val="009928D5"/>
    <w:rsid w:val="009D0224"/>
    <w:rsid w:val="009E09F2"/>
    <w:rsid w:val="009F0AAA"/>
    <w:rsid w:val="00A07AAE"/>
    <w:rsid w:val="00A359BE"/>
    <w:rsid w:val="00A477F0"/>
    <w:rsid w:val="00A640CF"/>
    <w:rsid w:val="00AA6B3C"/>
    <w:rsid w:val="00AB16A1"/>
    <w:rsid w:val="00AF2DD4"/>
    <w:rsid w:val="00B21C62"/>
    <w:rsid w:val="00B45D64"/>
    <w:rsid w:val="00B63BEB"/>
    <w:rsid w:val="00B93637"/>
    <w:rsid w:val="00BB1EDD"/>
    <w:rsid w:val="00BB4C54"/>
    <w:rsid w:val="00BD2FEB"/>
    <w:rsid w:val="00BF4CD8"/>
    <w:rsid w:val="00BF7AA2"/>
    <w:rsid w:val="00C77BBA"/>
    <w:rsid w:val="00CA7EB2"/>
    <w:rsid w:val="00D41963"/>
    <w:rsid w:val="00D66D93"/>
    <w:rsid w:val="00D66E47"/>
    <w:rsid w:val="00D76686"/>
    <w:rsid w:val="00DB2A87"/>
    <w:rsid w:val="00DD7B9B"/>
    <w:rsid w:val="00DE134C"/>
    <w:rsid w:val="00E53255"/>
    <w:rsid w:val="00E64F0F"/>
    <w:rsid w:val="00F42FC4"/>
    <w:rsid w:val="00FC1BCA"/>
    <w:rsid w:val="00FD4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1B3C"/>
  <w15:chartTrackingRefBased/>
  <w15:docId w15:val="{785BBA60-0502-40F9-8255-DB3A0AE2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B3C"/>
    <w:pPr>
      <w:spacing w:after="0" w:line="240" w:lineRule="auto"/>
      <w:jc w:val="both"/>
    </w:pPr>
    <w:rPr>
      <w:rFonts w:ascii="Times New Roman" w:hAnsi="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CD8"/>
    <w:pPr>
      <w:ind w:left="720"/>
      <w:contextualSpacing/>
    </w:pPr>
  </w:style>
  <w:style w:type="paragraph" w:styleId="Revision">
    <w:name w:val="Revision"/>
    <w:hidden/>
    <w:uiPriority w:val="99"/>
    <w:semiHidden/>
    <w:rsid w:val="00FC1BCA"/>
    <w:pPr>
      <w:spacing w:after="0" w:line="240" w:lineRule="auto"/>
    </w:pPr>
    <w:rPr>
      <w:rFonts w:ascii="Times New Roman" w:hAnsi="Times New Roman"/>
      <w:sz w:val="24"/>
      <w:lang w:val="lv-LV"/>
    </w:rPr>
  </w:style>
  <w:style w:type="character" w:styleId="CommentReference">
    <w:name w:val="annotation reference"/>
    <w:basedOn w:val="DefaultParagraphFont"/>
    <w:uiPriority w:val="99"/>
    <w:semiHidden/>
    <w:unhideWhenUsed/>
    <w:rsid w:val="006A74C5"/>
    <w:rPr>
      <w:sz w:val="16"/>
      <w:szCs w:val="16"/>
    </w:rPr>
  </w:style>
  <w:style w:type="paragraph" w:styleId="CommentText">
    <w:name w:val="annotation text"/>
    <w:basedOn w:val="Normal"/>
    <w:link w:val="CommentTextChar"/>
    <w:uiPriority w:val="99"/>
    <w:unhideWhenUsed/>
    <w:rsid w:val="006A74C5"/>
    <w:rPr>
      <w:sz w:val="20"/>
      <w:szCs w:val="20"/>
    </w:rPr>
  </w:style>
  <w:style w:type="character" w:customStyle="1" w:styleId="CommentTextChar">
    <w:name w:val="Comment Text Char"/>
    <w:basedOn w:val="DefaultParagraphFont"/>
    <w:link w:val="CommentText"/>
    <w:uiPriority w:val="99"/>
    <w:rsid w:val="006A74C5"/>
    <w:rPr>
      <w:rFonts w:ascii="Times New Roman" w:hAnsi="Times New Roman"/>
      <w:sz w:val="20"/>
      <w:szCs w:val="20"/>
      <w:lang w:val="lv-LV"/>
    </w:rPr>
  </w:style>
  <w:style w:type="paragraph" w:styleId="CommentSubject">
    <w:name w:val="annotation subject"/>
    <w:basedOn w:val="CommentText"/>
    <w:next w:val="CommentText"/>
    <w:link w:val="CommentSubjectChar"/>
    <w:uiPriority w:val="99"/>
    <w:semiHidden/>
    <w:unhideWhenUsed/>
    <w:rsid w:val="006A74C5"/>
    <w:rPr>
      <w:b/>
      <w:bCs/>
    </w:rPr>
  </w:style>
  <w:style w:type="character" w:customStyle="1" w:styleId="CommentSubjectChar">
    <w:name w:val="Comment Subject Char"/>
    <w:basedOn w:val="CommentTextChar"/>
    <w:link w:val="CommentSubject"/>
    <w:uiPriority w:val="99"/>
    <w:semiHidden/>
    <w:rsid w:val="006A74C5"/>
    <w:rPr>
      <w:rFonts w:ascii="Times New Roman" w:hAnsi="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1140</TotalTime>
  <Pages>2</Pages>
  <Words>3489</Words>
  <Characters>1989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Imants Žūriņš</cp:lastModifiedBy>
  <cp:revision>31</cp:revision>
  <dcterms:created xsi:type="dcterms:W3CDTF">2025-08-06T09:23:00Z</dcterms:created>
  <dcterms:modified xsi:type="dcterms:W3CDTF">2025-08-12T11:21:00Z</dcterms:modified>
</cp:coreProperties>
</file>